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Adverse Possession — The Real Rules, The Real Cases</w:t>
      </w:r>
    </w:p>
    <w:p>
      <w:pPr>
        <w:jc w:val="center"/>
      </w:pPr>
      <w:r>
        <w:rPr>
          <w:rFonts w:ascii="Montserrat" w:hAnsi="Montserrat" w:cs="Montserrat"/>
          <w:b w:val="0"/>
          <w:i w:val="0"/>
          <w:color w:val="4A5568"/>
          <w:sz w:val="17"/>
        </w:rPr>
        <w:t>The Legal Memoranda</w:t>
      </w:r>
    </w:p>
    <w:p>
      <w:pPr>
        <w:jc w:val="center"/>
      </w:pPr>
      <w:r>
        <w:rPr>
          <w:rFonts w:ascii="EB Garamond" w:hAnsi="EB Garamond" w:cs="EB Garamond"/>
          <w:b w:val="0"/>
          <w:i/>
          <w:color w:val="4A5568"/>
          <w:sz w:val="23"/>
        </w:rPr>
        <w:t>New York's actual adverse-possession statute and elements, the 2008 reforms, the 2024 squatter-coverage fix, and how the doctrine really works — against the version the document tells.</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A treatise opening on ignorance-of-law and agnotology, moving through adverse possession doctrine, and into the same sovereign-status frame as the rest of the file.</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Squatting or Adverse possession.docx</w:t>
      </w:r>
    </w:p>
    <w:p w14:paraId="64469170" w14:textId="77777777" w:rsidR="006E2C17" w:rsidRPr="006E2C17" w:rsidRDefault="006E2C17" w:rsidP="006E2C17">
      <w:pPr>
        <w:jc w:val="both"/>
        <w:rPr>
          <w:rFonts w:ascii="Times New Roman" w:hAnsi="Times New Roman" w:cs="Times New Roman"/>
          <w:sz w:val="18"/>
          <w:szCs w:val="18"/>
        </w:rPr>
      </w:pPr>
      <w:r w:rsidRPr="006E2C17">
        <w:rPr>
          <w:rFonts w:ascii="Times New Roman" w:hAnsi="Times New Roman" w:cs="Times New Roman"/>
          <w:b/>
          <w:bCs/>
          <w:i/>
          <w:iCs/>
          <w:color w:val="156082" w:themeColor="accent1"/>
          <w:sz w:val="18"/>
          <w:szCs w:val="18"/>
          <w:lang w:val="la-Latn"/>
        </w:rPr>
        <w:t>ignorantia juris non excusat</w:t>
      </w:r>
      <w:r w:rsidRPr="006E2C17">
        <w:rPr>
          <w:rFonts w:ascii="Times New Roman" w:hAnsi="Times New Roman" w:cs="Times New Roman"/>
          <w:color w:val="156082" w:themeColor="accent1"/>
          <w:sz w:val="18"/>
          <w:szCs w:val="18"/>
        </w:rPr>
        <w:t> </w:t>
      </w:r>
      <w:r w:rsidRPr="006E2C17">
        <w:rPr>
          <w:rFonts w:ascii="Times New Roman" w:hAnsi="Times New Roman" w:cs="Times New Roman"/>
          <w:sz w:val="18"/>
          <w:szCs w:val="18"/>
        </w:rPr>
        <w:t>- Latin meaning 'ignorance of the law excuses not', or </w:t>
      </w:r>
      <w:r w:rsidRPr="006E2C17">
        <w:rPr>
          <w:rFonts w:ascii="Times New Roman" w:hAnsi="Times New Roman" w:cs="Times New Roman"/>
          <w:b/>
          <w:bCs/>
          <w:i/>
          <w:iCs/>
          <w:color w:val="156082" w:themeColor="accent1"/>
          <w:sz w:val="18"/>
          <w:szCs w:val="18"/>
          <w:lang w:val="la-Latn"/>
        </w:rPr>
        <w:t>ignorantia legis neminem excusat</w:t>
      </w:r>
      <w:r w:rsidRPr="006E2C17">
        <w:rPr>
          <w:rFonts w:ascii="Times New Roman" w:hAnsi="Times New Roman" w:cs="Times New Roman"/>
          <w:color w:val="156082" w:themeColor="accent1"/>
          <w:sz w:val="18"/>
          <w:szCs w:val="18"/>
        </w:rPr>
        <w:t> </w:t>
      </w:r>
      <w:r w:rsidRPr="006E2C17">
        <w:rPr>
          <w:rFonts w:ascii="Times New Roman" w:hAnsi="Times New Roman" w:cs="Times New Roman"/>
          <w:sz w:val="18"/>
          <w:szCs w:val="18"/>
        </w:rPr>
        <w:t xml:space="preserve">meaning 'ignorance of law excuses no one'. </w:t>
      </w:r>
      <w:r w:rsidRPr="006E2C17">
        <w:rPr>
          <w:rFonts w:ascii="Times New Roman" w:hAnsi="Times New Roman" w:cs="Times New Roman"/>
          <w:b/>
          <w:bCs/>
          <w:sz w:val="18"/>
          <w:szCs w:val="18"/>
        </w:rPr>
        <w:t>Ignorance</w:t>
      </w:r>
      <w:r w:rsidRPr="006E2C17">
        <w:rPr>
          <w:rFonts w:ascii="Times New Roman" w:hAnsi="Times New Roman" w:cs="Times New Roman"/>
          <w:sz w:val="18"/>
          <w:szCs w:val="18"/>
        </w:rPr>
        <w:t xml:space="preserve"> is a lack of knowledge or awareness, information and understanding. </w:t>
      </w:r>
      <w:r w:rsidRPr="006E2C17">
        <w:rPr>
          <w:rFonts w:ascii="Times New Roman" w:hAnsi="Times New Roman" w:cs="Times New Roman"/>
          <w:b/>
          <w:bCs/>
          <w:sz w:val="18"/>
          <w:szCs w:val="18"/>
        </w:rPr>
        <w:t>Deliberate ignorance</w:t>
      </w:r>
      <w:r w:rsidRPr="006E2C17">
        <w:rPr>
          <w:rFonts w:ascii="Times New Roman" w:hAnsi="Times New Roman" w:cs="Times New Roman"/>
          <w:sz w:val="18"/>
          <w:szCs w:val="18"/>
        </w:rPr>
        <w:t xml:space="preserve"> is a </w:t>
      </w:r>
      <w:proofErr w:type="gramStart"/>
      <w:r w:rsidRPr="006E2C17">
        <w:rPr>
          <w:rFonts w:ascii="Times New Roman" w:hAnsi="Times New Roman" w:cs="Times New Roman"/>
          <w:sz w:val="18"/>
          <w:szCs w:val="18"/>
        </w:rPr>
        <w:t>culturally-</w:t>
      </w:r>
      <w:r w:rsidRPr="006E2C17">
        <w:rPr>
          <w:rFonts w:ascii="Times New Roman" w:hAnsi="Times New Roman" w:cs="Times New Roman"/>
          <w:i/>
          <w:iCs/>
          <w:sz w:val="18"/>
          <w:szCs w:val="18"/>
        </w:rPr>
        <w:t>induced</w:t>
      </w:r>
      <w:proofErr w:type="gramEnd"/>
      <w:r w:rsidRPr="006E2C17">
        <w:rPr>
          <w:rFonts w:ascii="Times New Roman" w:hAnsi="Times New Roman" w:cs="Times New Roman"/>
          <w:i/>
          <w:iCs/>
          <w:sz w:val="18"/>
          <w:szCs w:val="18"/>
        </w:rPr>
        <w:t xml:space="preserve"> phenomenon</w:t>
      </w:r>
      <w:r w:rsidRPr="006E2C17">
        <w:rPr>
          <w:rFonts w:ascii="Times New Roman" w:hAnsi="Times New Roman" w:cs="Times New Roman"/>
          <w:sz w:val="18"/>
          <w:szCs w:val="18"/>
        </w:rPr>
        <w:t xml:space="preserve">, the study of which is called </w:t>
      </w:r>
      <w:r w:rsidRPr="006E2C17">
        <w:rPr>
          <w:rFonts w:ascii="Times New Roman" w:hAnsi="Times New Roman" w:cs="Times New Roman"/>
          <w:i/>
          <w:iCs/>
          <w:sz w:val="18"/>
          <w:szCs w:val="18"/>
        </w:rPr>
        <w:t>agnotology</w:t>
      </w:r>
      <w:r w:rsidRPr="006E2C17">
        <w:rPr>
          <w:rFonts w:ascii="Times New Roman" w:hAnsi="Times New Roman" w:cs="Times New Roman"/>
          <w:sz w:val="18"/>
          <w:szCs w:val="18"/>
        </w:rPr>
        <w:t xml:space="preserve">. </w:t>
      </w:r>
    </w:p>
    <w:p w14:paraId="47E9DCFB" w14:textId="6F5D7929" w:rsidR="006E2C17" w:rsidRDefault="006E2C17" w:rsidP="006E2C17">
      <w:pPr>
        <w:pStyle w:val="ListParagraph"/>
        <w:jc w:val="both"/>
        <w:rPr>
          <w:rFonts w:ascii="Times New Roman" w:hAnsi="Times New Roman" w:cs="Times New Roman"/>
          <w:sz w:val="16"/>
          <w:szCs w:val="16"/>
        </w:rPr>
      </w:pPr>
      <w:r w:rsidRPr="006E2C17">
        <w:rPr>
          <w:rFonts w:ascii="Times New Roman" w:hAnsi="Times New Roman" w:cs="Times New Roman"/>
          <w:sz w:val="16"/>
          <w:szCs w:val="16"/>
        </w:rPr>
        <w:t xml:space="preserve">Within the sociology of knowledge, </w:t>
      </w:r>
      <w:proofErr w:type="gramStart"/>
      <w:r w:rsidRPr="006E2C17">
        <w:rPr>
          <w:rFonts w:ascii="Times New Roman" w:hAnsi="Times New Roman" w:cs="Times New Roman"/>
          <w:b/>
          <w:bCs/>
          <w:sz w:val="16"/>
          <w:szCs w:val="16"/>
        </w:rPr>
        <w:t>agnotology</w:t>
      </w:r>
      <w:proofErr w:type="gramEnd"/>
      <w:r w:rsidRPr="006E2C17">
        <w:rPr>
          <w:rFonts w:ascii="Times New Roman" w:hAnsi="Times New Roman" w:cs="Times New Roman"/>
          <w:sz w:val="16"/>
          <w:szCs w:val="16"/>
        </w:rPr>
        <w:t xml:space="preserve"> formerly </w:t>
      </w:r>
      <w:proofErr w:type="spellStart"/>
      <w:r w:rsidRPr="006E2C17">
        <w:rPr>
          <w:rFonts w:ascii="Times New Roman" w:hAnsi="Times New Roman" w:cs="Times New Roman"/>
          <w:b/>
          <w:bCs/>
          <w:sz w:val="16"/>
          <w:szCs w:val="16"/>
        </w:rPr>
        <w:t>agnatology</w:t>
      </w:r>
      <w:proofErr w:type="spellEnd"/>
      <w:r w:rsidRPr="006E2C17">
        <w:rPr>
          <w:rFonts w:ascii="Times New Roman" w:hAnsi="Times New Roman" w:cs="Times New Roman"/>
          <w:sz w:val="16"/>
          <w:szCs w:val="16"/>
        </w:rPr>
        <w:t xml:space="preserve">, is the study of deliberate, culturally cultivated ignorance or doubt, typically to sell a product, influence opinion, or win </w:t>
      </w:r>
      <w:r w:rsidR="003337C5" w:rsidRPr="006E2C17">
        <w:rPr>
          <w:rFonts w:ascii="Times New Roman" w:hAnsi="Times New Roman" w:cs="Times New Roman"/>
          <w:sz w:val="16"/>
          <w:szCs w:val="16"/>
        </w:rPr>
        <w:t>favor</w:t>
      </w:r>
      <w:r w:rsidRPr="006E2C17">
        <w:rPr>
          <w:rFonts w:ascii="Times New Roman" w:hAnsi="Times New Roman" w:cs="Times New Roman"/>
          <w:sz w:val="16"/>
          <w:szCs w:val="16"/>
        </w:rPr>
        <w:t xml:space="preserve">, particularly through the publication of inaccurate or misleading scientific data, i.e. disinformation. More generally, the term includes the condition where more knowledge of a subject creates greater uncertainty. The word "ignorant" is an adjective that describes a person in the state of being unaware, or even cognitive dissonance and other cognitive relation, and can describe individuals who are unaware of important information or facts. Ignorance can appear in three different types: </w:t>
      </w:r>
      <w:r w:rsidRPr="006E2C17">
        <w:rPr>
          <w:rFonts w:ascii="Times New Roman" w:hAnsi="Times New Roman" w:cs="Times New Roman"/>
          <w:i/>
          <w:iCs/>
          <w:sz w:val="16"/>
          <w:szCs w:val="16"/>
        </w:rPr>
        <w:t>factual ignorance</w:t>
      </w:r>
      <w:r w:rsidRPr="006E2C17">
        <w:rPr>
          <w:rFonts w:ascii="Times New Roman" w:hAnsi="Times New Roman" w:cs="Times New Roman"/>
          <w:sz w:val="16"/>
          <w:szCs w:val="16"/>
        </w:rPr>
        <w:t xml:space="preserve"> which is absence of knowledge of some fact, </w:t>
      </w:r>
      <w:r w:rsidRPr="006E2C17">
        <w:rPr>
          <w:rFonts w:ascii="Times New Roman" w:hAnsi="Times New Roman" w:cs="Times New Roman"/>
          <w:i/>
          <w:iCs/>
          <w:sz w:val="16"/>
          <w:szCs w:val="16"/>
        </w:rPr>
        <w:t>object ignorance</w:t>
      </w:r>
      <w:r w:rsidRPr="006E2C17">
        <w:rPr>
          <w:rFonts w:ascii="Times New Roman" w:hAnsi="Times New Roman" w:cs="Times New Roman"/>
          <w:sz w:val="16"/>
          <w:szCs w:val="16"/>
        </w:rPr>
        <w:t xml:space="preserve"> which is unacquaintance with some object, and </w:t>
      </w:r>
      <w:r w:rsidRPr="006E2C17">
        <w:rPr>
          <w:rFonts w:ascii="Times New Roman" w:hAnsi="Times New Roman" w:cs="Times New Roman"/>
          <w:i/>
          <w:iCs/>
          <w:sz w:val="16"/>
          <w:szCs w:val="16"/>
        </w:rPr>
        <w:t xml:space="preserve">technical ignorance </w:t>
      </w:r>
      <w:r w:rsidRPr="006E2C17">
        <w:rPr>
          <w:rFonts w:ascii="Times New Roman" w:hAnsi="Times New Roman" w:cs="Times New Roman"/>
          <w:sz w:val="16"/>
          <w:szCs w:val="16"/>
        </w:rPr>
        <w:t>which is absence of knowledge of how to do something.</w:t>
      </w:r>
    </w:p>
    <w:p w14:paraId="2744BC19" w14:textId="225C886B" w:rsidR="000E1B14" w:rsidRDefault="000E1B14" w:rsidP="000E1B14">
      <w:pPr>
        <w:shd w:val="clear" w:color="auto" w:fill="000000" w:themeFill="text1"/>
        <w:jc w:val="center"/>
        <w:rPr>
          <w:rFonts w:ascii="Times New Roman" w:hAnsi="Times New Roman" w:cs="Times New Roman"/>
          <w:b/>
          <w:bCs/>
          <w:sz w:val="16"/>
          <w:szCs w:val="16"/>
        </w:rPr>
      </w:pPr>
      <w:r>
        <w:rPr>
          <w:rFonts w:ascii="Times New Roman" w:hAnsi="Times New Roman" w:cs="Times New Roman"/>
          <w:b/>
          <w:bCs/>
          <w:sz w:val="16"/>
          <w:szCs w:val="16"/>
        </w:rPr>
        <w:t>Adverse Abandonment</w:t>
      </w:r>
    </w:p>
    <w:p w14:paraId="12835503" w14:textId="1F9E574C"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Adverse abandonment is a legal process where a third party</w:t>
      </w:r>
      <w:r w:rsidRPr="000E1B14">
        <w:rPr>
          <w:rFonts w:ascii="Times New Roman" w:hAnsi="Times New Roman" w:cs="Times New Roman"/>
          <w:sz w:val="18"/>
          <w:szCs w:val="18"/>
        </w:rPr>
        <w:t xml:space="preserve"> who is</w:t>
      </w:r>
      <w:r w:rsidRPr="000E1B14">
        <w:rPr>
          <w:rFonts w:ascii="Times New Roman" w:hAnsi="Times New Roman" w:cs="Times New Roman"/>
          <w:sz w:val="18"/>
          <w:szCs w:val="18"/>
        </w:rPr>
        <w:t xml:space="preserve"> often a trustee in bankruptcy attempts to terminate </w:t>
      </w:r>
      <w:r w:rsidRPr="000E1B14">
        <w:rPr>
          <w:rFonts w:ascii="Times New Roman" w:hAnsi="Times New Roman" w:cs="Times New Roman"/>
          <w:b/>
          <w:bCs/>
          <w:sz w:val="18"/>
          <w:szCs w:val="18"/>
        </w:rPr>
        <w:t>trackage rights or easements</w:t>
      </w:r>
      <w:r w:rsidRPr="000E1B14">
        <w:rPr>
          <w:rFonts w:ascii="Times New Roman" w:hAnsi="Times New Roman" w:cs="Times New Roman"/>
          <w:sz w:val="18"/>
          <w:szCs w:val="18"/>
        </w:rPr>
        <w:t xml:space="preserve"> held by a non-debtor over rail lines owned by a debtor. Unlike standard abandonment, where a rail carrier seeks permission to discontinue its own operations, adverse abandonment involves </w:t>
      </w:r>
      <w:r w:rsidRPr="000E1B14">
        <w:rPr>
          <w:rFonts w:ascii="Times New Roman" w:hAnsi="Times New Roman" w:cs="Times New Roman"/>
          <w:b/>
          <w:bCs/>
          <w:sz w:val="18"/>
          <w:szCs w:val="18"/>
        </w:rPr>
        <w:t>affecting the rights of a third party</w:t>
      </w:r>
      <w:r w:rsidRPr="000E1B14">
        <w:rPr>
          <w:rFonts w:ascii="Times New Roman" w:hAnsi="Times New Roman" w:cs="Times New Roman"/>
          <w:sz w:val="18"/>
          <w:szCs w:val="18"/>
        </w:rPr>
        <w:t xml:space="preserve"> rather than the carrier’s own property or service rights.</w:t>
      </w:r>
      <w:r w:rsidRPr="000E1B14">
        <w:rPr>
          <w:rFonts w:ascii="Times New Roman" w:hAnsi="Times New Roman" w:cs="Times New Roman"/>
          <w:sz w:val="18"/>
          <w:szCs w:val="18"/>
        </w:rPr>
        <w:t xml:space="preserve"> In short, a</w:t>
      </w:r>
      <w:r w:rsidRPr="000E1B14">
        <w:rPr>
          <w:rFonts w:ascii="Times New Roman" w:hAnsi="Times New Roman" w:cs="Times New Roman"/>
          <w:sz w:val="18"/>
          <w:szCs w:val="18"/>
        </w:rPr>
        <w:t>dverse abandonment</w:t>
      </w:r>
      <w:r w:rsidRPr="000E1B14">
        <w:rPr>
          <w:rFonts w:ascii="Times New Roman" w:hAnsi="Times New Roman" w:cs="Times New Roman"/>
          <w:sz w:val="18"/>
          <w:szCs w:val="18"/>
        </w:rPr>
        <w:t xml:space="preserve"> </w:t>
      </w:r>
      <w:r w:rsidRPr="000E1B14">
        <w:rPr>
          <w:rFonts w:ascii="Times New Roman" w:hAnsi="Times New Roman" w:cs="Times New Roman"/>
          <w:sz w:val="18"/>
          <w:szCs w:val="18"/>
        </w:rPr>
        <w:t xml:space="preserve">seeks to abandon or discontinue rail lines or </w:t>
      </w:r>
      <w:r w:rsidRPr="000E1B14">
        <w:rPr>
          <w:rFonts w:ascii="Times New Roman" w:hAnsi="Times New Roman" w:cs="Times New Roman"/>
          <w:b/>
          <w:bCs/>
          <w:i/>
          <w:iCs/>
          <w:sz w:val="18"/>
          <w:szCs w:val="18"/>
        </w:rPr>
        <w:t>services</w:t>
      </w:r>
      <w:r w:rsidRPr="000E1B14">
        <w:rPr>
          <w:rFonts w:ascii="Times New Roman" w:hAnsi="Times New Roman" w:cs="Times New Roman"/>
          <w:sz w:val="18"/>
          <w:szCs w:val="18"/>
        </w:rPr>
        <w:t xml:space="preserve"> over another party’s property, even if the owner objects</w:t>
      </w:r>
      <w:r w:rsidRPr="000E1B14">
        <w:rPr>
          <w:rFonts w:ascii="Times New Roman" w:hAnsi="Times New Roman" w:cs="Times New Roman"/>
          <w:sz w:val="18"/>
          <w:szCs w:val="18"/>
        </w:rPr>
        <w:t xml:space="preserve">. It is customarily utilized in </w:t>
      </w:r>
      <w:r w:rsidRPr="000E1B14">
        <w:rPr>
          <w:rFonts w:ascii="Times New Roman" w:hAnsi="Times New Roman" w:cs="Times New Roman"/>
          <w:sz w:val="18"/>
          <w:szCs w:val="18"/>
        </w:rPr>
        <w:t>bankruptcy proceedings.</w:t>
      </w:r>
    </w:p>
    <w:p w14:paraId="0801952A" w14:textId="77777777"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Adverse abandonment is significant in bankruptcy and rail regulation because it balances the interests of </w:t>
      </w:r>
      <w:r w:rsidRPr="000E1B14">
        <w:rPr>
          <w:rFonts w:ascii="Times New Roman" w:hAnsi="Times New Roman" w:cs="Times New Roman"/>
          <w:b/>
          <w:bCs/>
          <w:sz w:val="18"/>
          <w:szCs w:val="18"/>
        </w:rPr>
        <w:t>non-debtor carriers, shippers, and public convenience</w:t>
      </w:r>
      <w:r w:rsidRPr="000E1B14">
        <w:rPr>
          <w:rFonts w:ascii="Times New Roman" w:hAnsi="Times New Roman" w:cs="Times New Roman"/>
          <w:sz w:val="18"/>
          <w:szCs w:val="18"/>
        </w:rPr>
        <w:t>. It ensures that third-party rights are not terminated without regulatory oversight, preventing unilateral disruption of rail service and protecting commerce and community interests (</w:t>
      </w:r>
      <w:proofErr w:type="spellStart"/>
      <w:r w:rsidRPr="000E1B14">
        <w:rPr>
          <w:rFonts w:ascii="Times New Roman" w:hAnsi="Times New Roman" w:cs="Times New Roman"/>
          <w:sz w:val="18"/>
          <w:szCs w:val="18"/>
        </w:rPr>
        <w:t>eCFR</w:t>
      </w:r>
      <w:proofErr w:type="spellEnd"/>
      <w:r w:rsidRPr="000E1B14">
        <w:rPr>
          <w:rFonts w:ascii="Times New Roman" w:hAnsi="Times New Roman" w:cs="Times New Roman"/>
          <w:sz w:val="18"/>
          <w:szCs w:val="18"/>
        </w:rPr>
        <w:t>, 49 CFR Part 1152</w:t>
      </w:r>
    </w:p>
    <w:p w14:paraId="09514C55" w14:textId="162143CD"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Under the </w:t>
      </w:r>
      <w:r w:rsidRPr="000E1B14">
        <w:rPr>
          <w:rFonts w:ascii="Times New Roman" w:hAnsi="Times New Roman" w:cs="Times New Roman"/>
          <w:b/>
          <w:bCs/>
          <w:sz w:val="18"/>
          <w:szCs w:val="18"/>
        </w:rPr>
        <w:t>U.S. Bankruptcy Code, Section 1170</w:t>
      </w:r>
      <w:r w:rsidRPr="000E1B14">
        <w:rPr>
          <w:rFonts w:ascii="Times New Roman" w:hAnsi="Times New Roman" w:cs="Times New Roman"/>
          <w:sz w:val="18"/>
          <w:szCs w:val="18"/>
        </w:rPr>
        <w:t>, bankruptcy courts have authority to approve abandonment of rail lines owned by a debtor</w:t>
      </w:r>
      <w:r w:rsidRPr="000E1B14">
        <w:rPr>
          <w:rFonts w:ascii="Times New Roman" w:hAnsi="Times New Roman" w:cs="Times New Roman"/>
          <w:sz w:val="18"/>
          <w:szCs w:val="18"/>
        </w:rPr>
        <w:t xml:space="preserve"> causing discontinuance of service</w:t>
      </w:r>
      <w:r w:rsidRPr="000E1B14">
        <w:rPr>
          <w:rFonts w:ascii="Times New Roman" w:hAnsi="Times New Roman" w:cs="Times New Roman"/>
          <w:sz w:val="18"/>
          <w:szCs w:val="18"/>
        </w:rPr>
        <w:t xml:space="preserve">. However, courts generally </w:t>
      </w:r>
      <w:r w:rsidRPr="000E1B14">
        <w:rPr>
          <w:rFonts w:ascii="Times New Roman" w:hAnsi="Times New Roman" w:cs="Times New Roman"/>
          <w:b/>
          <w:bCs/>
          <w:sz w:val="18"/>
          <w:szCs w:val="18"/>
        </w:rPr>
        <w:t>do not have the power to grant adverse abandonments</w:t>
      </w:r>
      <w:r w:rsidRPr="000E1B14">
        <w:rPr>
          <w:rFonts w:ascii="Times New Roman" w:hAnsi="Times New Roman" w:cs="Times New Roman"/>
          <w:sz w:val="18"/>
          <w:szCs w:val="18"/>
        </w:rPr>
        <w:t xml:space="preserve"> affecting non-debtor rail carriers’ rights; such actions are typically under the jurisdiction of the </w:t>
      </w:r>
      <w:r w:rsidRPr="000E1B14">
        <w:rPr>
          <w:rFonts w:ascii="Times New Roman" w:hAnsi="Times New Roman" w:cs="Times New Roman"/>
          <w:b/>
          <w:bCs/>
          <w:sz w:val="18"/>
          <w:szCs w:val="18"/>
        </w:rPr>
        <w:t>Surface Transportation Board (STB)</w:t>
      </w:r>
      <w:r w:rsidRPr="000E1B14">
        <w:rPr>
          <w:rFonts w:ascii="Times New Roman" w:hAnsi="Times New Roman" w:cs="Times New Roman"/>
          <w:sz w:val="18"/>
          <w:szCs w:val="18"/>
        </w:rPr>
        <w:t xml:space="preserve">. The STB, successor to the Interstate Commerce Commission, regulates rail line abandonments and discontinuances under </w:t>
      </w:r>
      <w:r w:rsidRPr="000E1B14">
        <w:rPr>
          <w:rFonts w:ascii="Times New Roman" w:hAnsi="Times New Roman" w:cs="Times New Roman"/>
          <w:b/>
          <w:bCs/>
          <w:sz w:val="18"/>
          <w:szCs w:val="18"/>
        </w:rPr>
        <w:t>49 U.S.C. § 10903</w:t>
      </w:r>
      <w:r w:rsidRPr="000E1B14">
        <w:rPr>
          <w:rFonts w:ascii="Times New Roman" w:hAnsi="Times New Roman" w:cs="Times New Roman"/>
          <w:sz w:val="18"/>
          <w:szCs w:val="18"/>
        </w:rPr>
        <w:t>, ensuring that public convenience and necessity are considered</w:t>
      </w:r>
      <w:r w:rsidRPr="000E1B14">
        <w:rPr>
          <w:rFonts w:ascii="Times New Roman" w:hAnsi="Times New Roman" w:cs="Times New Roman"/>
          <w:sz w:val="18"/>
          <w:szCs w:val="18"/>
        </w:rPr>
        <w:t xml:space="preserve">. See </w:t>
      </w:r>
      <w:proofErr w:type="spellStart"/>
      <w:r w:rsidRPr="000E1B14">
        <w:rPr>
          <w:rFonts w:ascii="Times New Roman" w:hAnsi="Times New Roman" w:cs="Times New Roman"/>
          <w:sz w:val="18"/>
          <w:szCs w:val="18"/>
        </w:rPr>
        <w:t>eCFR</w:t>
      </w:r>
      <w:proofErr w:type="spellEnd"/>
      <w:r w:rsidRPr="000E1B14">
        <w:rPr>
          <w:rFonts w:ascii="Times New Roman" w:hAnsi="Times New Roman" w:cs="Times New Roman"/>
          <w:sz w:val="18"/>
          <w:szCs w:val="18"/>
        </w:rPr>
        <w:t>, 49 CFR Part 1152.</w:t>
      </w:r>
    </w:p>
    <w:p w14:paraId="41900BC3" w14:textId="0D14494B"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0E1B14">
        <w:rPr>
          <w:rFonts w:ascii="Times New Roman" w:hAnsi="Times New Roman" w:cs="Times New Roman"/>
          <w:b/>
          <w:bCs/>
          <w:sz w:val="18"/>
          <w:szCs w:val="18"/>
        </w:rPr>
        <w:t>serious adverse impact on communities or commerce</w:t>
      </w:r>
      <w:r w:rsidRPr="000E1B14">
        <w:rPr>
          <w:rFonts w:ascii="Times New Roman" w:hAnsi="Times New Roman" w:cs="Times New Roman"/>
          <w:sz w:val="18"/>
          <w:szCs w:val="18"/>
        </w:rPr>
        <w:t xml:space="preserve"> before granting approval (49 U.S.C. § 10903). In contrast, an adverse abandonment petition allows a third party to request the STB to discontinue </w:t>
      </w:r>
      <w:r w:rsidRPr="000E1B14">
        <w:rPr>
          <w:rFonts w:ascii="Times New Roman" w:hAnsi="Times New Roman" w:cs="Times New Roman"/>
          <w:i/>
          <w:iCs/>
          <w:sz w:val="18"/>
          <w:szCs w:val="18"/>
        </w:rPr>
        <w:t>service</w:t>
      </w:r>
      <w:r w:rsidRPr="000E1B14">
        <w:rPr>
          <w:rFonts w:ascii="Times New Roman" w:hAnsi="Times New Roman" w:cs="Times New Roman"/>
          <w:sz w:val="18"/>
          <w:szCs w:val="18"/>
        </w:rPr>
        <w:t xml:space="preserve"> or rights over another carrier’s line, even if the line owner objects, but the STB retains ultimate authority to approve or deny the request.</w:t>
      </w:r>
    </w:p>
    <w:p w14:paraId="727999CD" w14:textId="0AC33DBE" w:rsidR="000E1B14" w:rsidRPr="000E1B14" w:rsidRDefault="000E1B14" w:rsidP="000E1B14">
      <w:pPr>
        <w:rPr>
          <w:rFonts w:ascii="Times New Roman" w:hAnsi="Times New Roman" w:cs="Times New Roman"/>
          <w:sz w:val="18"/>
          <w:szCs w:val="18"/>
        </w:rPr>
      </w:pPr>
      <w:r w:rsidRPr="000E1B14">
        <w:rPr>
          <w:rFonts w:ascii="Times New Roman" w:hAnsi="Times New Roman" w:cs="Times New Roman"/>
          <w:sz w:val="18"/>
          <w:szCs w:val="18"/>
        </w:rPr>
        <w:t xml:space="preserve">Adverse abandonment </w:t>
      </w:r>
      <w:r w:rsidRPr="000E1B14">
        <w:rPr>
          <w:rFonts w:ascii="Times New Roman" w:hAnsi="Times New Roman" w:cs="Times New Roman"/>
          <w:sz w:val="18"/>
          <w:szCs w:val="18"/>
        </w:rPr>
        <w:t>has three k</w:t>
      </w:r>
      <w:r w:rsidRPr="000E1B14">
        <w:rPr>
          <w:rFonts w:ascii="Times New Roman" w:hAnsi="Times New Roman" w:cs="Times New Roman"/>
          <w:b/>
          <w:bCs/>
          <w:sz w:val="18"/>
          <w:szCs w:val="18"/>
        </w:rPr>
        <w:t xml:space="preserve">ey </w:t>
      </w:r>
      <w:r w:rsidRPr="000E1B14">
        <w:rPr>
          <w:rFonts w:ascii="Times New Roman" w:hAnsi="Times New Roman" w:cs="Times New Roman"/>
          <w:b/>
          <w:bCs/>
          <w:sz w:val="18"/>
          <w:szCs w:val="18"/>
        </w:rPr>
        <w:t>d</w:t>
      </w:r>
      <w:r w:rsidRPr="000E1B14">
        <w:rPr>
          <w:rFonts w:ascii="Times New Roman" w:hAnsi="Times New Roman" w:cs="Times New Roman"/>
          <w:b/>
          <w:bCs/>
          <w:sz w:val="18"/>
          <w:szCs w:val="18"/>
        </w:rPr>
        <w:t>istinctions</w:t>
      </w:r>
      <w:r w:rsidRPr="000E1B14">
        <w:rPr>
          <w:rFonts w:ascii="Times New Roman" w:hAnsi="Times New Roman" w:cs="Times New Roman"/>
          <w:b/>
          <w:bCs/>
          <w:sz w:val="18"/>
          <w:szCs w:val="18"/>
        </w:rPr>
        <w:t xml:space="preserve">: 1) </w:t>
      </w:r>
      <w:r w:rsidRPr="000E1B14">
        <w:rPr>
          <w:rFonts w:ascii="Times New Roman" w:hAnsi="Times New Roman" w:cs="Times New Roman"/>
          <w:b/>
          <w:bCs/>
          <w:sz w:val="18"/>
          <w:szCs w:val="18"/>
        </w:rPr>
        <w:t>Standard Abandonment:</w:t>
      </w:r>
      <w:r w:rsidRPr="000E1B14">
        <w:rPr>
          <w:rFonts w:ascii="Times New Roman" w:hAnsi="Times New Roman" w:cs="Times New Roman"/>
          <w:sz w:val="18"/>
          <w:szCs w:val="18"/>
        </w:rPr>
        <w:t xml:space="preserve"> Carrier seeks to abandon its own line; STB approval required.</w:t>
      </w:r>
      <w:r w:rsidRPr="000E1B14">
        <w:rPr>
          <w:rFonts w:ascii="Times New Roman" w:hAnsi="Times New Roman" w:cs="Times New Roman"/>
          <w:sz w:val="18"/>
          <w:szCs w:val="18"/>
        </w:rPr>
        <w:t xml:space="preserve"> 2) </w:t>
      </w:r>
      <w:r w:rsidRPr="000E1B14">
        <w:rPr>
          <w:rFonts w:ascii="Times New Roman" w:hAnsi="Times New Roman" w:cs="Times New Roman"/>
          <w:b/>
          <w:bCs/>
          <w:sz w:val="18"/>
          <w:szCs w:val="18"/>
        </w:rPr>
        <w:t>Adverse Abandonment:</w:t>
      </w:r>
      <w:r w:rsidRPr="000E1B14">
        <w:rPr>
          <w:rFonts w:ascii="Times New Roman" w:hAnsi="Times New Roman" w:cs="Times New Roman"/>
          <w:sz w:val="18"/>
          <w:szCs w:val="18"/>
        </w:rPr>
        <w:t xml:space="preserve"> Third party seeks to terminate rights over another’s line; STB may grant approval despite owner objection.</w:t>
      </w:r>
      <w:r w:rsidRPr="000E1B14">
        <w:rPr>
          <w:rFonts w:ascii="Times New Roman" w:hAnsi="Times New Roman" w:cs="Times New Roman"/>
          <w:sz w:val="18"/>
          <w:szCs w:val="18"/>
        </w:rPr>
        <w:t xml:space="preserve"> 3) </w:t>
      </w:r>
      <w:r w:rsidRPr="000E1B14">
        <w:rPr>
          <w:rFonts w:ascii="Times New Roman" w:hAnsi="Times New Roman" w:cs="Times New Roman"/>
          <w:b/>
          <w:bCs/>
          <w:sz w:val="18"/>
          <w:szCs w:val="18"/>
        </w:rPr>
        <w:t>Bankruptcy Context:</w:t>
      </w:r>
      <w:r w:rsidRPr="000E1B14">
        <w:rPr>
          <w:rFonts w:ascii="Times New Roman" w:hAnsi="Times New Roman" w:cs="Times New Roman"/>
          <w:sz w:val="18"/>
          <w:szCs w:val="18"/>
        </w:rPr>
        <w:t xml:space="preserve"> Section 1170 allows abandonment of debtor-owned lines, but not adverse abandonment of non-debtor rights.</w:t>
      </w:r>
    </w:p>
    <w:p w14:paraId="7CCDC32F" w14:textId="71CF7501" w:rsidR="00DA2889" w:rsidRPr="00DA2889" w:rsidRDefault="00DA2889" w:rsidP="006E2C17">
      <w:pPr>
        <w:shd w:val="clear" w:color="auto" w:fill="000000" w:themeFill="text1"/>
        <w:jc w:val="center"/>
        <w:rPr>
          <w:rFonts w:ascii="Times New Roman" w:hAnsi="Times New Roman" w:cs="Times New Roman"/>
          <w:b/>
          <w:bCs/>
          <w:sz w:val="20"/>
          <w:szCs w:val="20"/>
        </w:rPr>
      </w:pPr>
      <w:r w:rsidRPr="00DA2889">
        <w:rPr>
          <w:rFonts w:ascii="Times New Roman" w:hAnsi="Times New Roman" w:cs="Times New Roman"/>
          <w:b/>
          <w:bCs/>
          <w:sz w:val="20"/>
          <w:szCs w:val="20"/>
        </w:rPr>
        <w:t xml:space="preserve">Squatting or Adverse possession </w:t>
      </w:r>
      <w:r w:rsidR="00E83929">
        <w:rPr>
          <w:rFonts w:ascii="Times New Roman" w:hAnsi="Times New Roman" w:cs="Times New Roman"/>
          <w:b/>
          <w:bCs/>
          <w:sz w:val="20"/>
          <w:szCs w:val="20"/>
        </w:rPr>
        <w:t xml:space="preserve">via </w:t>
      </w:r>
      <w:r w:rsidR="00E83929" w:rsidRPr="00780BEF">
        <w:rPr>
          <w:rFonts w:ascii="Times New Roman" w:hAnsi="Times New Roman" w:cs="Times New Roman"/>
          <w:b/>
          <w:bCs/>
          <w:sz w:val="20"/>
          <w:szCs w:val="20"/>
        </w:rPr>
        <w:t xml:space="preserve">Acquisitive prescription </w:t>
      </w:r>
      <w:r w:rsidR="00E83929">
        <w:rPr>
          <w:rFonts w:ascii="Times New Roman" w:hAnsi="Times New Roman" w:cs="Times New Roman"/>
          <w:b/>
          <w:bCs/>
          <w:sz w:val="20"/>
          <w:szCs w:val="20"/>
        </w:rPr>
        <w:t xml:space="preserve">or </w:t>
      </w:r>
      <w:r w:rsidR="00E83929" w:rsidRPr="00780BEF">
        <w:rPr>
          <w:rFonts w:ascii="Times New Roman" w:hAnsi="Times New Roman" w:cs="Times New Roman"/>
          <w:b/>
          <w:bCs/>
          <w:sz w:val="20"/>
          <w:szCs w:val="20"/>
          <w:lang w:val="en"/>
        </w:rPr>
        <w:t>Usucaption</w:t>
      </w:r>
    </w:p>
    <w:p w14:paraId="126A7041" w14:textId="3ECFA8C4" w:rsidR="005B4964" w:rsidRPr="00965A42" w:rsidRDefault="00DA2889" w:rsidP="005B4964">
      <w:pPr>
        <w:jc w:val="both"/>
        <w:rPr>
          <w:rFonts w:ascii="Times New Roman" w:hAnsi="Times New Roman" w:cs="Times New Roman"/>
          <w:sz w:val="18"/>
          <w:szCs w:val="18"/>
        </w:rPr>
      </w:pPr>
      <w:r w:rsidRPr="00965A42">
        <w:rPr>
          <w:rFonts w:ascii="Times New Roman" w:hAnsi="Times New Roman" w:cs="Times New Roman"/>
          <w:b/>
          <w:bCs/>
          <w:sz w:val="18"/>
          <w:szCs w:val="18"/>
        </w:rPr>
        <w:t>Adverse possession</w:t>
      </w:r>
      <w:r w:rsidRPr="00965A42">
        <w:rPr>
          <w:rFonts w:ascii="Times New Roman" w:hAnsi="Times New Roman" w:cs="Times New Roman"/>
          <w:sz w:val="18"/>
          <w:szCs w:val="18"/>
        </w:rPr>
        <w:t> in common law,</w:t>
      </w:r>
      <w:r w:rsidR="00B01CDC" w:rsidRPr="00965A42">
        <w:rPr>
          <w:rFonts w:ascii="Times New Roman" w:hAnsi="Times New Roman" w:cs="Times New Roman"/>
          <w:sz w:val="18"/>
          <w:szCs w:val="18"/>
        </w:rPr>
        <w:t xml:space="preserve"> i.e., "the body of law derived from judicial decisions, rather than from </w:t>
      </w:r>
      <w:r w:rsidR="00B01CDC" w:rsidRPr="00965A42">
        <w:rPr>
          <w:rFonts w:ascii="Times New Roman" w:hAnsi="Times New Roman" w:cs="Times New Roman"/>
          <w:b/>
          <w:bCs/>
          <w:i/>
          <w:iCs/>
          <w:sz w:val="18"/>
          <w:szCs w:val="18"/>
        </w:rPr>
        <w:t>statutes</w:t>
      </w:r>
      <w:r w:rsidR="00B01CDC" w:rsidRPr="00965A42">
        <w:rPr>
          <w:rFonts w:ascii="Times New Roman" w:hAnsi="Times New Roman" w:cs="Times New Roman"/>
          <w:sz w:val="18"/>
          <w:szCs w:val="18"/>
        </w:rPr>
        <w:t xml:space="preserve">, i.e., a law or formal written enactment of a </w:t>
      </w:r>
      <w:r w:rsidR="00B01CDC" w:rsidRPr="00965A42">
        <w:rPr>
          <w:rFonts w:ascii="Times New Roman" w:hAnsi="Times New Roman" w:cs="Times New Roman"/>
          <w:b/>
          <w:bCs/>
          <w:i/>
          <w:iCs/>
          <w:sz w:val="18"/>
          <w:szCs w:val="18"/>
        </w:rPr>
        <w:t>legislature</w:t>
      </w:r>
      <w:r w:rsidR="00B01CDC" w:rsidRPr="00965A42">
        <w:rPr>
          <w:rFonts w:ascii="Times New Roman" w:hAnsi="Times New Roman" w:cs="Times New Roman"/>
          <w:sz w:val="18"/>
          <w:szCs w:val="18"/>
        </w:rPr>
        <w:t xml:space="preserve">, i.e., a deliberative assembly that holds the legal authority to make law and exercise </w:t>
      </w:r>
      <w:r w:rsidR="00B01CDC" w:rsidRPr="00965A42">
        <w:rPr>
          <w:rFonts w:ascii="Times New Roman" w:hAnsi="Times New Roman" w:cs="Times New Roman"/>
          <w:b/>
          <w:bCs/>
          <w:sz w:val="18"/>
          <w:szCs w:val="18"/>
        </w:rPr>
        <w:t>political</w:t>
      </w:r>
      <w:r w:rsidR="00B01CDC" w:rsidRPr="00965A42">
        <w:rPr>
          <w:rFonts w:ascii="Times New Roman" w:hAnsi="Times New Roman" w:cs="Times New Roman"/>
          <w:sz w:val="18"/>
          <w:szCs w:val="18"/>
        </w:rPr>
        <w:t xml:space="preserve"> oversight within a </w:t>
      </w:r>
      <w:r w:rsidR="00B01CDC" w:rsidRPr="00965A42">
        <w:rPr>
          <w:rFonts w:ascii="Times New Roman" w:hAnsi="Times New Roman" w:cs="Times New Roman"/>
          <w:i/>
          <w:iCs/>
          <w:sz w:val="18"/>
          <w:szCs w:val="18"/>
        </w:rPr>
        <w:t>political entity</w:t>
      </w:r>
      <w:r w:rsidR="00B01CDC" w:rsidRPr="00965A42">
        <w:rPr>
          <w:rFonts w:ascii="Times New Roman" w:hAnsi="Times New Roman" w:cs="Times New Roman"/>
          <w:sz w:val="18"/>
          <w:szCs w:val="18"/>
        </w:rPr>
        <w:t xml:space="preserve"> such as a state, nation, or city.</w:t>
      </w:r>
      <w:r w:rsidR="005B4964" w:rsidRPr="00965A42">
        <w:rPr>
          <w:rFonts w:ascii="Times New Roman" w:hAnsi="Times New Roman" w:cs="Times New Roman"/>
          <w:sz w:val="18"/>
          <w:szCs w:val="18"/>
        </w:rPr>
        <w:t xml:space="preserve"> In most political systems, the laws enacted by </w:t>
      </w:r>
      <w:proofErr w:type="gramStart"/>
      <w:r w:rsidR="005B4964" w:rsidRPr="00965A42">
        <w:rPr>
          <w:rFonts w:ascii="Times New Roman" w:hAnsi="Times New Roman" w:cs="Times New Roman"/>
          <w:sz w:val="18"/>
          <w:szCs w:val="18"/>
        </w:rPr>
        <w:t>legislatures</w:t>
      </w:r>
      <w:proofErr w:type="gramEnd"/>
      <w:r w:rsidR="005B4964" w:rsidRPr="00965A42">
        <w:rPr>
          <w:rFonts w:ascii="Times New Roman" w:hAnsi="Times New Roman" w:cs="Times New Roman"/>
          <w:sz w:val="18"/>
          <w:szCs w:val="18"/>
        </w:rPr>
        <w:t xml:space="preserve"> are referred to as primary legislation.</w:t>
      </w:r>
    </w:p>
    <w:p w14:paraId="7B954159" w14:textId="73932A44" w:rsidR="005B4964" w:rsidRPr="00965A42" w:rsidRDefault="005B4964" w:rsidP="005B4964">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sovereign state</w:t>
      </w:r>
      <w:r w:rsidRPr="00965A42">
        <w:rPr>
          <w:rFonts w:ascii="Times New Roman" w:hAnsi="Times New Roman" w:cs="Times New Roman"/>
          <w:sz w:val="18"/>
          <w:szCs w:val="18"/>
        </w:rPr>
        <w:t xml:space="preserve"> is a state that has the highest authority over a territory. It is commonly understood that a sovereign state is independent. When referring to a specific polity, the term "</w:t>
      </w:r>
      <w:r w:rsidRPr="00965A42">
        <w:rPr>
          <w:rFonts w:ascii="Times New Roman" w:hAnsi="Times New Roman" w:cs="Times New Roman"/>
          <w:i/>
          <w:iCs/>
          <w:sz w:val="18"/>
          <w:szCs w:val="18"/>
        </w:rPr>
        <w:t>country</w:t>
      </w:r>
      <w:r w:rsidRPr="00965A42">
        <w:rPr>
          <w:rFonts w:ascii="Times New Roman" w:hAnsi="Times New Roman" w:cs="Times New Roman"/>
          <w:sz w:val="18"/>
          <w:szCs w:val="18"/>
        </w:rPr>
        <w:t xml:space="preserve">" may also refer to a constituent </w:t>
      </w:r>
      <w:r w:rsidR="008D4724" w:rsidRPr="00965A42">
        <w:rPr>
          <w:rFonts w:ascii="Times New Roman" w:hAnsi="Times New Roman" w:cs="Times New Roman"/>
          <w:sz w:val="18"/>
          <w:szCs w:val="18"/>
        </w:rPr>
        <w:t xml:space="preserve">or representative </w:t>
      </w:r>
      <w:r w:rsidRPr="00965A42">
        <w:rPr>
          <w:rFonts w:ascii="Times New Roman" w:hAnsi="Times New Roman" w:cs="Times New Roman"/>
          <w:sz w:val="18"/>
          <w:szCs w:val="18"/>
        </w:rPr>
        <w:t>country, or a dependent territory</w:t>
      </w:r>
      <w:r w:rsidR="008D4724" w:rsidRPr="00965A42">
        <w:rPr>
          <w:rFonts w:ascii="Times New Roman" w:hAnsi="Times New Roman" w:cs="Times New Roman"/>
          <w:sz w:val="18"/>
          <w:szCs w:val="18"/>
        </w:rPr>
        <w:t>, such as an Indian reservation</w:t>
      </w:r>
      <w:r w:rsidRPr="00965A42">
        <w:rPr>
          <w:rFonts w:ascii="Times New Roman" w:hAnsi="Times New Roman" w:cs="Times New Roman"/>
          <w:sz w:val="18"/>
          <w:szCs w:val="18"/>
        </w:rPr>
        <w:t>.</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sovereign state is required to have a permanent population, defined territory, a government not under another, and the capacity to interact with other sovereign states.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actual practice, recognition or non-recognition by other states plays an important role in determining the status of a country. Although the political existence of the sovereign state is independent of recognition by the other states, Unrecognized states often have difficulty engaging in diplomatic relations with other sovereign states. </w:t>
      </w:r>
    </w:p>
    <w:p w14:paraId="572E3859" w14:textId="77777777" w:rsidR="008D4724" w:rsidRPr="00965A42" w:rsidRDefault="008D4724" w:rsidP="005B4964">
      <w:pPr>
        <w:pStyle w:val="ListParagraph"/>
        <w:jc w:val="both"/>
        <w:rPr>
          <w:rFonts w:ascii="Times New Roman" w:hAnsi="Times New Roman" w:cs="Times New Roman"/>
          <w:sz w:val="8"/>
          <w:szCs w:val="8"/>
        </w:rPr>
      </w:pPr>
    </w:p>
    <w:p w14:paraId="31B6E96E" w14:textId="563B0B7C" w:rsidR="008D4724" w:rsidRPr="00965A42" w:rsidRDefault="008D4724" w:rsidP="008D4724">
      <w:pPr>
        <w:pStyle w:val="ListParagraph"/>
        <w:jc w:val="both"/>
        <w:rPr>
          <w:rFonts w:ascii="Times New Roman" w:hAnsi="Times New Roman" w:cs="Times New Roman"/>
          <w:sz w:val="18"/>
          <w:szCs w:val="18"/>
        </w:rPr>
      </w:pPr>
      <w:proofErr w:type="gramStart"/>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polity</w:t>
      </w:r>
      <w:proofErr w:type="gramEnd"/>
      <w:r w:rsidRPr="00965A42">
        <w:rPr>
          <w:rFonts w:ascii="Times New Roman" w:hAnsi="Times New Roman" w:cs="Times New Roman"/>
          <w:sz w:val="18"/>
          <w:szCs w:val="18"/>
        </w:rPr>
        <w:t xml:space="preserve"> is a group of people with a collective identity, who are organized by some form of political, institutionalized, social relations, and have a capacity to mobilize resources. It is the unit or entity of </w:t>
      </w:r>
      <w:proofErr w:type="gramStart"/>
      <w:r w:rsidRPr="00965A42">
        <w:rPr>
          <w:rFonts w:ascii="Times New Roman" w:hAnsi="Times New Roman" w:cs="Times New Roman"/>
          <w:sz w:val="18"/>
          <w:szCs w:val="18"/>
        </w:rPr>
        <w:t>a  political</w:t>
      </w:r>
      <w:proofErr w:type="gramEnd"/>
      <w:r w:rsidRPr="00965A42">
        <w:rPr>
          <w:rFonts w:ascii="Times New Roman" w:hAnsi="Times New Roman" w:cs="Times New Roman"/>
          <w:sz w:val="18"/>
          <w:szCs w:val="18"/>
        </w:rPr>
        <w:t xml:space="preserve"> community or body politic. </w:t>
      </w:r>
      <w:r w:rsidRPr="00965A42">
        <w:rPr>
          <w:rFonts w:ascii="Times New Roman" w:hAnsi="Times New Roman" w:cs="Times New Roman"/>
          <w:sz w:val="18"/>
          <w:szCs w:val="18"/>
        </w:rPr>
        <w:lastRenderedPageBreak/>
        <w:t xml:space="preserve">A polity can be any group of people organized for governance, such as by the board of a corporation, and in the case of a federal country, the government that exists at both its federal level and the level of its subdivided regions. </w:t>
      </w:r>
      <w:proofErr w:type="gramStart"/>
      <w:r w:rsidRPr="00965A42">
        <w:rPr>
          <w:rFonts w:ascii="Times New Roman" w:hAnsi="Times New Roman" w:cs="Times New Roman"/>
          <w:sz w:val="18"/>
          <w:szCs w:val="18"/>
        </w:rPr>
        <w:t>A polity</w:t>
      </w:r>
      <w:proofErr w:type="gramEnd"/>
      <w:r w:rsidRPr="00965A42">
        <w:rPr>
          <w:rFonts w:ascii="Times New Roman" w:hAnsi="Times New Roman" w:cs="Times New Roman"/>
          <w:sz w:val="18"/>
          <w:szCs w:val="18"/>
        </w:rPr>
        <w:t xml:space="preserve"> may have various forms, such as a republic administered by an elected representative, a realm of a hereditary monarch, an incorporated city managed by an appointed mayor, and many others. The preeminent or most fundamental polities today are generally understood to be federal and unitary states made up of Westphalian states and nation-states, commonly referred to as countries, which, in the case of the former, may govern federated states varyingly referred to as states, provinces, regions, cantons, lands, governorates, oblasts, emirates, or countries, when narrowly structured. These form the basis of international law and organizations, such as the United Nations which is itself the governing structure of a global polity.</w:t>
      </w:r>
    </w:p>
    <w:p w14:paraId="5626F772" w14:textId="0A52FC92" w:rsidR="005B4964"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The English word </w:t>
      </w:r>
      <w:r w:rsidRPr="00965A42">
        <w:rPr>
          <w:rFonts w:ascii="Times New Roman" w:hAnsi="Times New Roman" w:cs="Times New Roman"/>
          <w:i/>
          <w:iCs/>
          <w:sz w:val="18"/>
          <w:szCs w:val="18"/>
        </w:rPr>
        <w:t>nation</w:t>
      </w:r>
      <w:r w:rsidRPr="00965A42">
        <w:rPr>
          <w:rFonts w:ascii="Times New Roman" w:hAnsi="Times New Roman" w:cs="Times New Roman"/>
          <w:sz w:val="18"/>
          <w:szCs w:val="18"/>
        </w:rPr>
        <w:t xml:space="preserve"> from Middle English c. 1300, </w:t>
      </w:r>
      <w:proofErr w:type="spellStart"/>
      <w:r w:rsidRPr="00965A42">
        <w:rPr>
          <w:rFonts w:ascii="Times New Roman" w:hAnsi="Times New Roman" w:cs="Times New Roman"/>
          <w:i/>
          <w:iCs/>
          <w:sz w:val="18"/>
          <w:szCs w:val="18"/>
        </w:rPr>
        <w:t>nacioun</w:t>
      </w:r>
      <w:proofErr w:type="spellEnd"/>
      <w:r w:rsidRPr="00965A42">
        <w:rPr>
          <w:rFonts w:ascii="Times New Roman" w:hAnsi="Times New Roman" w:cs="Times New Roman"/>
          <w:sz w:val="18"/>
          <w:szCs w:val="18"/>
        </w:rPr>
        <w:t xml:space="preserve"> "a race of people, large group of people with common ancestry and language," from Old French </w:t>
      </w:r>
      <w:proofErr w:type="spellStart"/>
      <w:r w:rsidRPr="00965A42">
        <w:rPr>
          <w:rFonts w:ascii="Times New Roman" w:hAnsi="Times New Roman" w:cs="Times New Roman"/>
          <w:i/>
          <w:iCs/>
          <w:sz w:val="18"/>
          <w:szCs w:val="18"/>
        </w:rPr>
        <w:t>nacion</w:t>
      </w:r>
      <w:proofErr w:type="spellEnd"/>
      <w:r w:rsidRPr="00965A42">
        <w:rPr>
          <w:rFonts w:ascii="Times New Roman" w:hAnsi="Times New Roman" w:cs="Times New Roman"/>
          <w:sz w:val="18"/>
          <w:szCs w:val="18"/>
        </w:rPr>
        <w:t xml:space="preserve"> "birth (</w:t>
      </w:r>
      <w:r w:rsidRPr="00965A42">
        <w:rPr>
          <w:rFonts w:ascii="Times New Roman" w:hAnsi="Times New Roman" w:cs="Times New Roman"/>
          <w:i/>
          <w:iCs/>
          <w:sz w:val="18"/>
          <w:szCs w:val="18"/>
        </w:rPr>
        <w:t>naissance</w:t>
      </w:r>
      <w:r w:rsidRPr="00965A42">
        <w:rPr>
          <w:rFonts w:ascii="Times New Roman" w:hAnsi="Times New Roman" w:cs="Times New Roman"/>
          <w:sz w:val="18"/>
          <w:szCs w:val="18"/>
        </w:rPr>
        <w:t xml:space="preserve">), rank; descendants, relatives; country, homeland" (12c.) and directly from Latin </w:t>
      </w:r>
      <w:proofErr w:type="spellStart"/>
      <w:r w:rsidRPr="00965A42">
        <w:rPr>
          <w:rFonts w:ascii="Times New Roman" w:hAnsi="Times New Roman" w:cs="Times New Roman"/>
          <w:i/>
          <w:iCs/>
          <w:sz w:val="18"/>
          <w:szCs w:val="18"/>
        </w:rPr>
        <w:t>nationem</w:t>
      </w:r>
      <w:proofErr w:type="spellEnd"/>
      <w:r w:rsidRPr="00965A42">
        <w:rPr>
          <w:rFonts w:ascii="Times New Roman" w:hAnsi="Times New Roman" w:cs="Times New Roman"/>
          <w:sz w:val="18"/>
          <w:szCs w:val="18"/>
        </w:rPr>
        <w:t xml:space="preserve"> (nominative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w:t>
      </w:r>
      <w:r w:rsidRPr="00965A42">
        <w:rPr>
          <w:rFonts w:ascii="Times New Roman" w:hAnsi="Times New Roman" w:cs="Times New Roman"/>
          <w:i/>
          <w:iCs/>
          <w:sz w:val="18"/>
          <w:szCs w:val="18"/>
        </w:rPr>
        <w:t>(</w:t>
      </w:r>
      <w:proofErr w:type="spellStart"/>
      <w:r w:rsidRPr="00965A42">
        <w:rPr>
          <w:rFonts w:ascii="Times New Roman" w:hAnsi="Times New Roman" w:cs="Times New Roman"/>
          <w:i/>
          <w:iCs/>
          <w:sz w:val="18"/>
          <w:szCs w:val="18"/>
        </w:rPr>
        <w:t>nātĭō</w:t>
      </w:r>
      <w:proofErr w:type="spellEnd"/>
      <w:r w:rsidRPr="00965A42">
        <w:rPr>
          <w:rFonts w:ascii="Times New Roman" w:hAnsi="Times New Roman" w:cs="Times New Roman"/>
          <w:i/>
          <w:iCs/>
          <w:sz w:val="18"/>
          <w:szCs w:val="18"/>
        </w:rPr>
        <w:t xml:space="preserve">), supine of verb </w:t>
      </w:r>
      <w:proofErr w:type="spellStart"/>
      <w:r w:rsidRPr="00965A42">
        <w:rPr>
          <w:rFonts w:ascii="Times New Roman" w:hAnsi="Times New Roman" w:cs="Times New Roman"/>
          <w:i/>
          <w:iCs/>
          <w:sz w:val="18"/>
          <w:szCs w:val="18"/>
        </w:rPr>
        <w:t>nascar</w:t>
      </w:r>
      <w:proofErr w:type="spellEnd"/>
      <w:r w:rsidRPr="00965A42">
        <w:rPr>
          <w:rFonts w:ascii="Times New Roman" w:hAnsi="Times New Roman" w:cs="Times New Roman"/>
          <w:i/>
          <w:iCs/>
          <w:sz w:val="18"/>
          <w:szCs w:val="18"/>
        </w:rPr>
        <w:t xml:space="preserve"> « to birth » (supine : </w:t>
      </w:r>
      <w:proofErr w:type="spellStart"/>
      <w:r w:rsidRPr="00965A42">
        <w:rPr>
          <w:rFonts w:ascii="Times New Roman" w:hAnsi="Times New Roman" w:cs="Times New Roman"/>
          <w:i/>
          <w:iCs/>
          <w:sz w:val="18"/>
          <w:szCs w:val="18"/>
        </w:rPr>
        <w:t>natum</w:t>
      </w:r>
      <w:proofErr w:type="spellEnd"/>
      <w:r w:rsidRPr="00965A42">
        <w:rPr>
          <w:rFonts w:ascii="Times New Roman" w:hAnsi="Times New Roman" w:cs="Times New Roman"/>
          <w:i/>
          <w:iCs/>
          <w:sz w:val="18"/>
          <w:szCs w:val="18"/>
        </w:rPr>
        <w:t>)</w:t>
      </w:r>
      <w:r w:rsidRPr="00965A42">
        <w:rPr>
          <w:rFonts w:ascii="Times New Roman" w:hAnsi="Times New Roman" w:cs="Times New Roman"/>
          <w:sz w:val="18"/>
          <w:szCs w:val="18"/>
        </w:rPr>
        <w:t xml:space="preserve">) "birth, origin; breed, stock, kind, species; race of people, tribe," literally "that which has been born," from </w:t>
      </w:r>
      <w:proofErr w:type="spellStart"/>
      <w:r w:rsidRPr="00965A42">
        <w:rPr>
          <w:rFonts w:ascii="Times New Roman" w:hAnsi="Times New Roman" w:cs="Times New Roman"/>
          <w:i/>
          <w:iCs/>
          <w:sz w:val="18"/>
          <w:szCs w:val="18"/>
        </w:rPr>
        <w:t>natus</w:t>
      </w:r>
      <w:proofErr w:type="spellEnd"/>
      <w:r w:rsidRPr="00965A42">
        <w:rPr>
          <w:rFonts w:ascii="Times New Roman" w:hAnsi="Times New Roman" w:cs="Times New Roman"/>
          <w:sz w:val="18"/>
          <w:szCs w:val="18"/>
        </w:rPr>
        <w:t xml:space="preserve">, past participle of </w:t>
      </w:r>
      <w:proofErr w:type="spellStart"/>
      <w:r w:rsidRPr="00965A42">
        <w:rPr>
          <w:rFonts w:ascii="Times New Roman" w:hAnsi="Times New Roman" w:cs="Times New Roman"/>
          <w:i/>
          <w:iCs/>
          <w:sz w:val="18"/>
          <w:szCs w:val="18"/>
        </w:rPr>
        <w:t>nasci</w:t>
      </w:r>
      <w:proofErr w:type="spellEnd"/>
      <w:r w:rsidRPr="00965A42">
        <w:rPr>
          <w:rFonts w:ascii="Times New Roman" w:hAnsi="Times New Roman" w:cs="Times New Roman"/>
          <w:sz w:val="18"/>
          <w:szCs w:val="18"/>
        </w:rPr>
        <w:t xml:space="preserve"> "be born" (Old Latin </w:t>
      </w:r>
      <w:proofErr w:type="spellStart"/>
      <w:r w:rsidRPr="00965A42">
        <w:rPr>
          <w:rFonts w:ascii="Times New Roman" w:hAnsi="Times New Roman" w:cs="Times New Roman"/>
          <w:i/>
          <w:iCs/>
          <w:sz w:val="18"/>
          <w:szCs w:val="18"/>
        </w:rPr>
        <w:t>gnasci</w:t>
      </w:r>
      <w:proofErr w:type="spellEnd"/>
      <w:r w:rsidRPr="00965A42">
        <w:rPr>
          <w:rFonts w:ascii="Times New Roman" w:hAnsi="Times New Roman" w:cs="Times New Roman"/>
          <w:sz w:val="18"/>
          <w:szCs w:val="18"/>
        </w:rPr>
        <w:t>), from PIE root *gene- "give birth, beget," with derivatives referring to procreation and familial and tribal groups.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Latin,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represents the children of the same birth </w:t>
      </w:r>
      <w:proofErr w:type="gramStart"/>
      <w:r w:rsidRPr="00965A42">
        <w:rPr>
          <w:rFonts w:ascii="Times New Roman" w:hAnsi="Times New Roman" w:cs="Times New Roman"/>
          <w:sz w:val="18"/>
          <w:szCs w:val="18"/>
        </w:rPr>
        <w:t>and also</w:t>
      </w:r>
      <w:proofErr w:type="gramEnd"/>
      <w:r w:rsidRPr="00965A42">
        <w:rPr>
          <w:rFonts w:ascii="Times New Roman" w:hAnsi="Times New Roman" w:cs="Times New Roman"/>
          <w:sz w:val="18"/>
          <w:szCs w:val="18"/>
        </w:rPr>
        <w:t xml:space="preserve"> a human group of same origin. By Cicero,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is used for "people".</w:t>
      </w:r>
      <w:r w:rsidR="008D4724" w:rsidRPr="00965A42">
        <w:rPr>
          <w:rFonts w:ascii="Times New Roman" w:hAnsi="Times New Roman" w:cs="Times New Roman"/>
          <w:sz w:val="18"/>
          <w:szCs w:val="18"/>
        </w:rPr>
        <w:t xml:space="preserve"> </w:t>
      </w:r>
    </w:p>
    <w:p w14:paraId="75D615C4" w14:textId="0AF6D268" w:rsidR="005B4964" w:rsidRPr="00965A42" w:rsidRDefault="005B4964" w:rsidP="005B4964">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nation</w:t>
      </w:r>
      <w:r w:rsidRPr="00965A42">
        <w:rPr>
          <w:rFonts w:ascii="Times New Roman" w:hAnsi="Times New Roman" w:cs="Times New Roman"/>
          <w:sz w:val="18"/>
          <w:szCs w:val="18"/>
        </w:rPr>
        <w:t xml:space="preserve"> is a type of social organization where a collective identity—a national identity—has emerged from a combination of shared features across a given population, such as language, history, ethnicity, culture, territory, or society. Some nations are constructed </w:t>
      </w:r>
      <w:proofErr w:type="gramStart"/>
      <w:r w:rsidRPr="00965A42">
        <w:rPr>
          <w:rFonts w:ascii="Times New Roman" w:hAnsi="Times New Roman" w:cs="Times New Roman"/>
          <w:sz w:val="18"/>
          <w:szCs w:val="18"/>
        </w:rPr>
        <w:t>around  ethnicity</w:t>
      </w:r>
      <w:proofErr w:type="gramEnd"/>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while others are bound by political constitutions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nation is generally more overtly political than an ethnic group. Benedict Anderson defines a nation as "</w:t>
      </w:r>
      <w:r w:rsidRPr="00965A42">
        <w:rPr>
          <w:rFonts w:ascii="Times New Roman" w:hAnsi="Times New Roman" w:cs="Times New Roman"/>
          <w:b/>
          <w:bCs/>
          <w:i/>
          <w:iCs/>
          <w:sz w:val="18"/>
          <w:szCs w:val="18"/>
        </w:rPr>
        <w:t>an imagined political community</w:t>
      </w:r>
      <w:r w:rsidRPr="00965A42">
        <w:rPr>
          <w:rFonts w:ascii="Times New Roman" w:hAnsi="Times New Roman" w:cs="Times New Roman"/>
          <w:sz w:val="18"/>
          <w:szCs w:val="18"/>
        </w:rPr>
        <w:t xml:space="preserve"> […] imagined because the members of even the smallest nation will never know most of their fellow-members, meet them, or even hear of them, yet in the minds of each lives the image of their communion", while Anthony D. Smith defines nations as cultural-political communities that have become conscious of their autonomy, unity and particular interests.</w:t>
      </w:r>
      <w:r w:rsidR="008D4724" w:rsidRPr="00965A42">
        <w:rPr>
          <w:rFonts w:ascii="Times New Roman" w:hAnsi="Times New Roman" w:cs="Times New Roman"/>
          <w:sz w:val="18"/>
          <w:szCs w:val="18"/>
          <w:vertAlign w:val="superscript"/>
        </w:rPr>
        <w:t xml:space="preserve"> </w:t>
      </w:r>
      <w:r w:rsidRPr="00965A42">
        <w:rPr>
          <w:rFonts w:ascii="Times New Roman" w:hAnsi="Times New Roman" w:cs="Times New Roman"/>
          <w:i/>
          <w:iCs/>
          <w:sz w:val="18"/>
          <w:szCs w:val="18"/>
        </w:rPr>
        <w:t>Black's Law Dictionary</w:t>
      </w:r>
      <w:r w:rsidRPr="00965A42">
        <w:rPr>
          <w:rFonts w:ascii="Times New Roman" w:hAnsi="Times New Roman" w:cs="Times New Roman"/>
          <w:sz w:val="18"/>
          <w:szCs w:val="18"/>
        </w:rPr>
        <w:t xml:space="preserve"> also defines nation as a community of people inhabiting a defined territory and organized under an independent government. Thus, </w:t>
      </w:r>
      <w:proofErr w:type="gramStart"/>
      <w:r w:rsidRPr="00965A42">
        <w:rPr>
          <w:rFonts w:ascii="Times New Roman" w:hAnsi="Times New Roman" w:cs="Times New Roman"/>
          <w:sz w:val="18"/>
          <w:szCs w:val="18"/>
        </w:rPr>
        <w:t>nation</w:t>
      </w:r>
      <w:proofErr w:type="gramEnd"/>
      <w:r w:rsidRPr="00965A42">
        <w:rPr>
          <w:rFonts w:ascii="Times New Roman" w:hAnsi="Times New Roman" w:cs="Times New Roman"/>
          <w:sz w:val="18"/>
          <w:szCs w:val="18"/>
        </w:rPr>
        <w:t xml:space="preserve"> can be synonymous with </w:t>
      </w:r>
      <w:proofErr w:type="gramStart"/>
      <w:r w:rsidRPr="00965A42">
        <w:rPr>
          <w:rFonts w:ascii="Times New Roman" w:hAnsi="Times New Roman" w:cs="Times New Roman"/>
          <w:sz w:val="18"/>
          <w:szCs w:val="18"/>
        </w:rPr>
        <w:t>state</w:t>
      </w:r>
      <w:proofErr w:type="gramEnd"/>
      <w:r w:rsidRPr="00965A42">
        <w:rPr>
          <w:rFonts w:ascii="Times New Roman" w:hAnsi="Times New Roman" w:cs="Times New Roman"/>
          <w:sz w:val="18"/>
          <w:szCs w:val="18"/>
        </w:rPr>
        <w:t xml:space="preserve"> or </w:t>
      </w:r>
      <w:proofErr w:type="gramStart"/>
      <w:r w:rsidRPr="00965A42">
        <w:rPr>
          <w:rFonts w:ascii="Times New Roman" w:hAnsi="Times New Roman" w:cs="Times New Roman"/>
          <w:sz w:val="18"/>
          <w:szCs w:val="18"/>
        </w:rPr>
        <w:t>country</w:t>
      </w:r>
      <w:proofErr w:type="gramEnd"/>
      <w:r w:rsidRPr="00965A42">
        <w:rPr>
          <w:rFonts w:ascii="Times New Roman" w:hAnsi="Times New Roman" w:cs="Times New Roman"/>
          <w:sz w:val="18"/>
          <w:szCs w:val="18"/>
        </w:rPr>
        <w:t>. Indeed, according to Thomas Hylland Eriksen, what distinguishes nations from other forms of collective identity, like ethnicity, is this very relationship with the state. The consensus among scholars is that nations are socially constructed, historically contingent, organizationally flexible, and a distinctly modern phenomenon.</w:t>
      </w:r>
      <w:r w:rsidR="008D4724"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Throughout  history</w:t>
      </w:r>
      <w:proofErr w:type="gramEnd"/>
      <w:r w:rsidRPr="00965A42">
        <w:rPr>
          <w:rFonts w:ascii="Times New Roman" w:hAnsi="Times New Roman" w:cs="Times New Roman"/>
          <w:sz w:val="18"/>
          <w:szCs w:val="18"/>
        </w:rPr>
        <w:t>, people have had an attachment to their kin group and traditions, territorial authorities and their homeland, but nationalism – the belief that state and nation should align as a nation state – did not become a prominent ideology until the end of the 18th century.</w:t>
      </w:r>
      <w:r w:rsidR="008D4724" w:rsidRPr="00965A42">
        <w:rPr>
          <w:rFonts w:ascii="Times New Roman" w:hAnsi="Times New Roman" w:cs="Times New Roman"/>
          <w:sz w:val="18"/>
          <w:szCs w:val="18"/>
        </w:rPr>
        <w:t xml:space="preserve"> </w:t>
      </w:r>
    </w:p>
    <w:p w14:paraId="7CA72966" w14:textId="77777777" w:rsidR="00FD7C26"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city</w:t>
      </w:r>
      <w:r w:rsidRPr="00965A42">
        <w:rPr>
          <w:rFonts w:ascii="Times New Roman" w:hAnsi="Times New Roman" w:cs="Times New Roman"/>
          <w:sz w:val="18"/>
          <w:szCs w:val="18"/>
        </w:rPr>
        <w:t xml:space="preserve"> is a human settlement of a substantial size. The term "city" has different meanings around the world and in some places the settlement can be very small. Even where the term is limited to larger settlements, there is no universally agreed definition of the lower boundary for their size.</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a narrower sense, a city can be defined as a permanent and densely populated place with administratively defined boundaries whose members work primarily on non-agricultural tasks. Cities generally have extensive systems for housing, transportation, sanitation, utilities, land use, production of goods, and communication. Their density facilitates interaction between people, government organizations, and businesses, sometimes benefiting different parties in the process, such as improving the efficiency of goods and service distribution. A </w:t>
      </w:r>
      <w:r w:rsidRPr="00965A42">
        <w:rPr>
          <w:rFonts w:ascii="Times New Roman" w:hAnsi="Times New Roman" w:cs="Times New Roman"/>
          <w:i/>
          <w:iCs/>
          <w:sz w:val="18"/>
          <w:szCs w:val="18"/>
        </w:rPr>
        <w:t>city</w:t>
      </w:r>
      <w:r w:rsidRPr="00965A42">
        <w:rPr>
          <w:rFonts w:ascii="Times New Roman" w:hAnsi="Times New Roman" w:cs="Times New Roman"/>
          <w:sz w:val="18"/>
          <w:szCs w:val="18"/>
        </w:rPr>
        <w:t xml:space="preserve"> can be distinguished from other human settlements by its relatively great size, but also by its functions and its special symbolic status, which may be </w:t>
      </w:r>
      <w:proofErr w:type="gramStart"/>
      <w:r w:rsidRPr="00965A42">
        <w:rPr>
          <w:rFonts w:ascii="Times New Roman" w:hAnsi="Times New Roman" w:cs="Times New Roman"/>
          <w:sz w:val="18"/>
          <w:szCs w:val="18"/>
        </w:rPr>
        <w:t>conferred</w:t>
      </w:r>
      <w:proofErr w:type="gramEnd"/>
      <w:r w:rsidRPr="00965A42">
        <w:rPr>
          <w:rFonts w:ascii="Times New Roman" w:hAnsi="Times New Roman" w:cs="Times New Roman"/>
          <w:sz w:val="18"/>
          <w:szCs w:val="18"/>
        </w:rPr>
        <w:t xml:space="preserve"> by a central authority. The term can also refer either to the physical streets and buildings of the city or to the collection of people who dwell there and can be used in a general sense to mean urban rather than rural territory. According to the "functional definition", a city is not distinguished by size alone, but also by the role it plays within a larger political context. Cities serve as administrative, commercial, religious, and cultural hubs for their larger surrounding areas.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The presence of a literate elite is often associated with cities because of the cultural diversities present in a city.</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typical city has professional administrators, regulations, and some form of taxation to support the government workers</w:t>
      </w:r>
      <w:r w:rsidR="00FD7C26" w:rsidRPr="00965A42">
        <w:rPr>
          <w:rFonts w:ascii="Times New Roman" w:hAnsi="Times New Roman" w:cs="Times New Roman"/>
          <w:sz w:val="18"/>
          <w:szCs w:val="18"/>
        </w:rPr>
        <w:t xml:space="preserve"> / employees</w:t>
      </w:r>
      <w:r w:rsidRPr="00965A42">
        <w:rPr>
          <w:rFonts w:ascii="Times New Roman" w:hAnsi="Times New Roman" w:cs="Times New Roman"/>
          <w:sz w:val="18"/>
          <w:szCs w:val="18"/>
        </w:rPr>
        <w:t xml:space="preserve">. </w:t>
      </w:r>
    </w:p>
    <w:p w14:paraId="33A38848" w14:textId="1F4E27EB" w:rsidR="005B4964"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This arrangement contrasts with the more typically horizontal relationships in a tribe or village accomplishing common goals through informal agreements between neighbors, or the leadership of a chief. The governments may be based on heredity, religion, military power, work systems such as canal-building, food distribution, </w:t>
      </w:r>
      <w:proofErr w:type="gramStart"/>
      <w:r w:rsidRPr="00965A42">
        <w:rPr>
          <w:rFonts w:ascii="Times New Roman" w:hAnsi="Times New Roman" w:cs="Times New Roman"/>
          <w:sz w:val="18"/>
          <w:szCs w:val="18"/>
        </w:rPr>
        <w:t>land-ownership</w:t>
      </w:r>
      <w:proofErr w:type="gramEnd"/>
      <w:r w:rsidRPr="00965A42">
        <w:rPr>
          <w:rFonts w:ascii="Times New Roman" w:hAnsi="Times New Roman" w:cs="Times New Roman"/>
          <w:sz w:val="18"/>
          <w:szCs w:val="18"/>
        </w:rPr>
        <w:t>, agriculture, commerce, manufacturing, finance, or a combination of these. Societies that live in cities are often called civilizations. Historically, city dwellers have been a small proportion of humanity overall, but following two centuries of unprecedented and rapid urbanization, more than half of the world population now lives in cities, which has had profound consequences for global sustainability.</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Present-day cities usually form the core of larger metropolitan areas and urban areas—creating numerous commuters traveling toward city </w:t>
      </w:r>
      <w:r w:rsidR="00FD7C26" w:rsidRPr="00965A42">
        <w:rPr>
          <w:rFonts w:ascii="Times New Roman" w:hAnsi="Times New Roman" w:cs="Times New Roman"/>
          <w:sz w:val="18"/>
          <w:szCs w:val="18"/>
        </w:rPr>
        <w:t>centers</w:t>
      </w:r>
      <w:r w:rsidRPr="00965A42">
        <w:rPr>
          <w:rFonts w:ascii="Times New Roman" w:hAnsi="Times New Roman" w:cs="Times New Roman"/>
          <w:sz w:val="18"/>
          <w:szCs w:val="18"/>
        </w:rPr>
        <w:t xml:space="preserve"> for employment, entertainment, and education. However, in a world of intensifying globalization, all cities are to varying degrees also </w:t>
      </w:r>
      <w:r w:rsidRPr="00965A42">
        <w:rPr>
          <w:rFonts w:ascii="Times New Roman" w:hAnsi="Times New Roman" w:cs="Times New Roman"/>
          <w:sz w:val="18"/>
          <w:szCs w:val="18"/>
        </w:rPr>
        <w:lastRenderedPageBreak/>
        <w:t>connected globally beyond these regions. This increased influence means that cities also have significant influences on global issues, such as sustainable development, climate change, and global health. Because of these major influences on global issues, the international community has prioritized investment in sustainable cities through Sustainable Development Goal 11. Due to the efficiency of transportation and the smaller land consumption, dense cities hold the potential to have a smaller ecological footprint per inhabitant than more sparsely populated areas.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Therefore, compact cities are often referred to as a crucial element in fighting climate change. However, this concentration can also have some significant harmful effects, such as forming urban heat islands, concentrating pollution, and stressing water supplies and other resources.</w:t>
      </w:r>
    </w:p>
    <w:p w14:paraId="7CC5D1C0" w14:textId="4706DBB2" w:rsidR="00DA2889" w:rsidRPr="00965A42" w:rsidRDefault="005B4964" w:rsidP="00B771AC">
      <w:pPr>
        <w:jc w:val="both"/>
        <w:rPr>
          <w:rFonts w:ascii="Times New Roman" w:hAnsi="Times New Roman" w:cs="Times New Roman"/>
          <w:sz w:val="18"/>
          <w:szCs w:val="18"/>
        </w:rPr>
      </w:pPr>
      <w:r w:rsidRPr="00965A42">
        <w:rPr>
          <w:rFonts w:ascii="Times New Roman" w:hAnsi="Times New Roman" w:cs="Times New Roman"/>
          <w:b/>
          <w:bCs/>
          <w:sz w:val="18"/>
          <w:szCs w:val="18"/>
        </w:rPr>
        <w:t xml:space="preserve">Legislatures </w:t>
      </w:r>
      <w:r w:rsidRPr="00965A42">
        <w:rPr>
          <w:rFonts w:ascii="Times New Roman" w:hAnsi="Times New Roman" w:cs="Times New Roman"/>
          <w:sz w:val="18"/>
          <w:szCs w:val="18"/>
        </w:rPr>
        <w:t xml:space="preserve">may also perform oversight, budgetary, and representative functions. Members of </w:t>
      </w:r>
      <w:proofErr w:type="gramStart"/>
      <w:r w:rsidRPr="00965A42">
        <w:rPr>
          <w:rFonts w:ascii="Times New Roman" w:hAnsi="Times New Roman" w:cs="Times New Roman"/>
          <w:sz w:val="18"/>
          <w:szCs w:val="18"/>
        </w:rPr>
        <w:t>a legislature</w:t>
      </w:r>
      <w:proofErr w:type="gramEnd"/>
      <w:r w:rsidRPr="00965A42">
        <w:rPr>
          <w:rFonts w:ascii="Times New Roman" w:hAnsi="Times New Roman" w:cs="Times New Roman"/>
          <w:sz w:val="18"/>
          <w:szCs w:val="18"/>
        </w:rPr>
        <w:t xml:space="preserve">, called legislators, may be elected, indirectly chosen, or appointed, and legislatures may be unicameral, bicameral, or </w:t>
      </w:r>
      <w:proofErr w:type="spellStart"/>
      <w:r w:rsidRPr="00965A42">
        <w:rPr>
          <w:rFonts w:ascii="Times New Roman" w:hAnsi="Times New Roman" w:cs="Times New Roman"/>
          <w:sz w:val="18"/>
          <w:szCs w:val="18"/>
        </w:rPr>
        <w:t>multicameral</w:t>
      </w:r>
      <w:proofErr w:type="spellEnd"/>
      <w:r w:rsidRPr="00965A42">
        <w:rPr>
          <w:rFonts w:ascii="Times New Roman" w:hAnsi="Times New Roman" w:cs="Times New Roman"/>
          <w:sz w:val="18"/>
          <w:szCs w:val="18"/>
        </w:rPr>
        <w:t xml:space="preserve">, depending on their constitutional design. There are several types of legislatures, reflecting the different constitutional principles of power on which states are organized. These types illustrate how legislatures differ not only in structure and function, but also in their constitutional relationship to other state institutions and in the theories of sovereignty and power that underpin them. The most common types are parliaments, which operate under the fusion of powers between the  executive and the legislature; congresses, which function under the separation of powers between independent branches of government—in these systems, the legislature is institutionally separate from the other branches and has limited means to influence their operations; and supreme state organs of power, found in communist states, which operated under the doctrine of unified power, centralizing executive, legislative, judicial and all other state powers in a supreme state organ of power, with subordinate organs carrying out delegated functions within a constitutionally defined division of </w:t>
      </w:r>
      <w:r w:rsidR="00FB1089" w:rsidRPr="00965A42">
        <w:rPr>
          <w:rFonts w:ascii="Times New Roman" w:hAnsi="Times New Roman" w:cs="Times New Roman"/>
          <w:sz w:val="18"/>
          <w:szCs w:val="18"/>
        </w:rPr>
        <w:t>labor</w:t>
      </w:r>
      <w:r w:rsidRPr="00965A42">
        <w:rPr>
          <w:rFonts w:ascii="Times New Roman" w:hAnsi="Times New Roman" w:cs="Times New Roman"/>
          <w:sz w:val="18"/>
          <w:szCs w:val="18"/>
        </w:rPr>
        <w:t xml:space="preserve"> among state organs. </w:t>
      </w:r>
      <w:r w:rsidR="00B01CDC" w:rsidRPr="00965A42">
        <w:rPr>
          <w:rFonts w:ascii="Times New Roman" w:hAnsi="Times New Roman" w:cs="Times New Roman"/>
          <w:sz w:val="18"/>
          <w:szCs w:val="18"/>
        </w:rPr>
        <w:t>Legislatures are among the principal institutions of state, typically contrasted with the executive and judicial institutions. They may exist at different levels of governance—national, subnational</w:t>
      </w:r>
      <w:r w:rsidR="00FB1089" w:rsidRPr="00965A42">
        <w:rPr>
          <w:rFonts w:ascii="Times New Roman" w:hAnsi="Times New Roman" w:cs="Times New Roman"/>
          <w:sz w:val="18"/>
          <w:szCs w:val="18"/>
        </w:rPr>
        <w:t xml:space="preserve">, i.e., </w:t>
      </w:r>
      <w:r w:rsidR="00B01CDC" w:rsidRPr="00965A42">
        <w:rPr>
          <w:rFonts w:ascii="Times New Roman" w:hAnsi="Times New Roman" w:cs="Times New Roman"/>
          <w:sz w:val="18"/>
          <w:szCs w:val="18"/>
        </w:rPr>
        <w:t xml:space="preserve">state, provincial, or regional, local, or supranational—such as the European Parliament, or  constitutions", </w:t>
      </w:r>
      <w:r w:rsidR="00DA2889" w:rsidRPr="00965A42">
        <w:rPr>
          <w:rFonts w:ascii="Times New Roman" w:hAnsi="Times New Roman" w:cs="Times New Roman"/>
          <w:sz w:val="18"/>
          <w:szCs w:val="18"/>
        </w:rPr>
        <w:t>and the related civil law concept of usucaption</w:t>
      </w:r>
      <w:r w:rsidR="0095216C" w:rsidRPr="00965A42">
        <w:rPr>
          <w:rFonts w:ascii="Times New Roman" w:hAnsi="Times New Roman" w:cs="Times New Roman"/>
          <w:sz w:val="18"/>
          <w:szCs w:val="18"/>
        </w:rPr>
        <w:t xml:space="preserve">, </w:t>
      </w:r>
      <w:r w:rsidR="00DA2889" w:rsidRPr="00965A42">
        <w:rPr>
          <w:rFonts w:ascii="Times New Roman" w:hAnsi="Times New Roman" w:cs="Times New Roman"/>
          <w:sz w:val="18"/>
          <w:szCs w:val="18"/>
        </w:rPr>
        <w:t>also </w:t>
      </w:r>
      <w:r w:rsidR="0095216C" w:rsidRPr="00965A42">
        <w:rPr>
          <w:rFonts w:ascii="Times New Roman" w:hAnsi="Times New Roman" w:cs="Times New Roman"/>
          <w:sz w:val="18"/>
          <w:szCs w:val="18"/>
        </w:rPr>
        <w:t xml:space="preserve">termed </w:t>
      </w:r>
      <w:r w:rsidR="00DA2889" w:rsidRPr="00965A42">
        <w:rPr>
          <w:rFonts w:ascii="Times New Roman" w:hAnsi="Times New Roman" w:cs="Times New Roman"/>
          <w:i/>
          <w:iCs/>
          <w:sz w:val="18"/>
          <w:szCs w:val="18"/>
        </w:rPr>
        <w:t>acquisitive prescription</w:t>
      </w:r>
      <w:r w:rsidR="00DA2889" w:rsidRPr="00965A42">
        <w:rPr>
          <w:rFonts w:ascii="Times New Roman" w:hAnsi="Times New Roman" w:cs="Times New Roman"/>
          <w:sz w:val="18"/>
          <w:szCs w:val="18"/>
        </w:rPr>
        <w:t> or </w:t>
      </w:r>
      <w:r w:rsidR="00DA2889" w:rsidRPr="00965A42">
        <w:rPr>
          <w:rFonts w:ascii="Times New Roman" w:hAnsi="Times New Roman" w:cs="Times New Roman"/>
          <w:i/>
          <w:iCs/>
          <w:sz w:val="18"/>
          <w:szCs w:val="18"/>
        </w:rPr>
        <w:t>prescriptive acquisition</w:t>
      </w:r>
      <w:r w:rsidR="00DA2889" w:rsidRPr="00965A42">
        <w:rPr>
          <w:rFonts w:ascii="Times New Roman" w:hAnsi="Times New Roman" w:cs="Times New Roman"/>
          <w:sz w:val="18"/>
          <w:szCs w:val="18"/>
        </w:rPr>
        <w:t xml:space="preserve">, are legal mechanisms under which a person who </w:t>
      </w:r>
      <w:r w:rsidR="00DA2889" w:rsidRPr="00965A42">
        <w:rPr>
          <w:rFonts w:ascii="Times New Roman" w:hAnsi="Times New Roman" w:cs="Times New Roman"/>
          <w:b/>
          <w:bCs/>
          <w:sz w:val="18"/>
          <w:szCs w:val="18"/>
        </w:rPr>
        <w:t>does not have</w:t>
      </w:r>
      <w:r w:rsidR="00DA2889" w:rsidRPr="00965A42">
        <w:rPr>
          <w:rFonts w:ascii="Times New Roman" w:hAnsi="Times New Roman" w:cs="Times New Roman"/>
          <w:sz w:val="18"/>
          <w:szCs w:val="18"/>
        </w:rPr>
        <w:t xml:space="preserve"> legal title to a piece of property, usually real property, may acquire legal ownership based on continuous possession or occupation without the permission </w:t>
      </w:r>
      <w:r w:rsidR="0095216C" w:rsidRPr="00965A42">
        <w:rPr>
          <w:rFonts w:ascii="Times New Roman" w:hAnsi="Times New Roman" w:cs="Times New Roman"/>
          <w:sz w:val="18"/>
          <w:szCs w:val="18"/>
        </w:rPr>
        <w:t xml:space="preserve">or </w:t>
      </w:r>
      <w:r w:rsidR="00FB1089" w:rsidRPr="00965A42">
        <w:rPr>
          <w:rFonts w:ascii="Times New Roman" w:hAnsi="Times New Roman" w:cs="Times New Roman"/>
          <w:sz w:val="18"/>
          <w:szCs w:val="18"/>
        </w:rPr>
        <w:t>license</w:t>
      </w:r>
      <w:r w:rsidR="00DA2889" w:rsidRPr="00965A42">
        <w:rPr>
          <w:rFonts w:ascii="Times New Roman" w:hAnsi="Times New Roman" w:cs="Times New Roman"/>
          <w:sz w:val="18"/>
          <w:szCs w:val="18"/>
        </w:rPr>
        <w:t xml:space="preserve"> of its legal owner.</w:t>
      </w:r>
      <w:r w:rsidR="00B771AC" w:rsidRPr="00965A42">
        <w:rPr>
          <w:rFonts w:ascii="Times New Roman" w:hAnsi="Times New Roman" w:cs="Times New Roman"/>
          <w:sz w:val="18"/>
          <w:szCs w:val="18"/>
        </w:rPr>
        <w:t xml:space="preserve"> </w:t>
      </w:r>
    </w:p>
    <w:p w14:paraId="40D70B9C" w14:textId="2019C5CF" w:rsidR="00B01CDC" w:rsidRPr="00965A42" w:rsidRDefault="00B01CDC" w:rsidP="004123F9">
      <w:pPr>
        <w:jc w:val="both"/>
        <w:rPr>
          <w:rFonts w:ascii="Times New Roman" w:hAnsi="Times New Roman" w:cs="Times New Roman"/>
          <w:sz w:val="18"/>
          <w:szCs w:val="18"/>
        </w:rPr>
      </w:pPr>
      <w:r w:rsidRPr="00965A42">
        <w:rPr>
          <w:rFonts w:ascii="Times New Roman" w:hAnsi="Times New Roman" w:cs="Times New Roman"/>
          <w:b/>
          <w:bCs/>
          <w:sz w:val="18"/>
          <w:szCs w:val="18"/>
        </w:rPr>
        <w:t>Common law</w:t>
      </w:r>
      <w:r w:rsidRPr="00965A42">
        <w:rPr>
          <w:rFonts w:ascii="Times New Roman" w:hAnsi="Times New Roman" w:cs="Times New Roman"/>
          <w:sz w:val="18"/>
          <w:szCs w:val="18"/>
        </w:rPr>
        <w:t xml:space="preserve"> is the body of law primarily developed through judicial decisions rather than statutes.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Although common law may incorporate certain statutes, it is largely based on precedent—judicial rulings made in previous similar cases. The presiding judge determines which precedents to apply in deciding each new case. It is deeply rooted in the principle of </w:t>
      </w:r>
      <w:r w:rsidRPr="00965A42">
        <w:rPr>
          <w:rFonts w:ascii="Times New Roman" w:hAnsi="Times New Roman" w:cs="Times New Roman"/>
          <w:i/>
          <w:iCs/>
          <w:sz w:val="18"/>
          <w:szCs w:val="18"/>
        </w:rPr>
        <w:t>stare decisis</w:t>
      </w:r>
      <w:r w:rsidR="00FB1089" w:rsidRPr="00965A42">
        <w:rPr>
          <w:rFonts w:ascii="Times New Roman" w:hAnsi="Times New Roman" w:cs="Times New Roman"/>
          <w:sz w:val="18"/>
          <w:szCs w:val="18"/>
        </w:rPr>
        <w:t xml:space="preserve">, i.e., </w:t>
      </w:r>
      <w:r w:rsidRPr="00965A42">
        <w:rPr>
          <w:rFonts w:ascii="Times New Roman" w:hAnsi="Times New Roman" w:cs="Times New Roman"/>
          <w:sz w:val="18"/>
          <w:szCs w:val="18"/>
        </w:rPr>
        <w:t xml:space="preserve">"to stand by things decided", where courts follow precedents established by previous decisions. When a similar case has been resolved, courts typically align their reasoning with the precedent set in that decision. However, in </w:t>
      </w:r>
      <w:proofErr w:type="gramStart"/>
      <w:r w:rsidRPr="00965A42">
        <w:rPr>
          <w:rFonts w:ascii="Times New Roman" w:hAnsi="Times New Roman" w:cs="Times New Roman"/>
          <w:sz w:val="18"/>
          <w:szCs w:val="18"/>
        </w:rPr>
        <w:t>a "</w:t>
      </w:r>
      <w:proofErr w:type="gramEnd"/>
      <w:r w:rsidRPr="00965A42">
        <w:rPr>
          <w:rFonts w:ascii="Times New Roman" w:hAnsi="Times New Roman" w:cs="Times New Roman"/>
          <w:sz w:val="18"/>
          <w:szCs w:val="18"/>
        </w:rPr>
        <w:t xml:space="preserve">case of first impression" with no precedent or clear legislative guidance, judges are empowered to resolve the issue and establish new </w:t>
      </w:r>
      <w:proofErr w:type="gramStart"/>
      <w:r w:rsidRPr="00965A42">
        <w:rPr>
          <w:rFonts w:ascii="Times New Roman" w:hAnsi="Times New Roman" w:cs="Times New Roman"/>
          <w:sz w:val="18"/>
          <w:szCs w:val="18"/>
        </w:rPr>
        <w:t>precedent</w:t>
      </w:r>
      <w:proofErr w:type="gramEnd"/>
      <w:r w:rsidRPr="00965A42">
        <w:rPr>
          <w:rFonts w:ascii="Times New Roman" w:hAnsi="Times New Roman" w:cs="Times New Roman"/>
          <w:sz w:val="18"/>
          <w:szCs w:val="18"/>
        </w:rPr>
        <w:t>. The common law, so named because it was common to all the king's courts across England, originated in the practices of the courts of the English kings in the centuries following the Norman Conquest in 1066. It established a unified legal system, gradually supplanting the local folk courts and manorial courts. England spread the English legal system across the British Isles, first to Wales, and then to Ireland and overseas colonies; this was continued by the later British Empire. Many former colonies retain the common law system today. These common law systems are legal systems that give great weight to judicial precedent, and to the style of reasoning inherited from the English legal system. Today, approximately one-third of the world's population lives in common law jurisdictions or in mixed legal systems that integrate common law and civil law.  Legal systems that rely on common law as precedent are known as "common law jurisdictions." Until the early 20th century, common law was widely believed to derive its authority from ancient Anglo-Saxon customs. Well into the 19th century, it was still defined as 'unwritten law' (</w:t>
      </w:r>
      <w:r w:rsidRPr="00965A42">
        <w:rPr>
          <w:rFonts w:ascii="Times New Roman" w:hAnsi="Times New Roman" w:cs="Times New Roman"/>
          <w:i/>
          <w:iCs/>
          <w:sz w:val="18"/>
          <w:szCs w:val="18"/>
        </w:rPr>
        <w:t>lex non scripta</w:t>
      </w:r>
      <w:r w:rsidRPr="00965A42">
        <w:rPr>
          <w:rFonts w:ascii="Times New Roman" w:hAnsi="Times New Roman" w:cs="Times New Roman"/>
          <w:sz w:val="18"/>
          <w:szCs w:val="18"/>
        </w:rPr>
        <w:t xml:space="preserve">) in legal dictionaries such as </w:t>
      </w:r>
      <w:r w:rsidRPr="00965A42">
        <w:rPr>
          <w:rFonts w:ascii="Times New Roman" w:hAnsi="Times New Roman" w:cs="Times New Roman"/>
          <w:i/>
          <w:iCs/>
          <w:sz w:val="18"/>
          <w:szCs w:val="18"/>
        </w:rPr>
        <w:t>Bouvier's Law Dictionary</w:t>
      </w:r>
      <w:r w:rsidRPr="00965A42">
        <w:rPr>
          <w:rFonts w:ascii="Times New Roman" w:hAnsi="Times New Roman" w:cs="Times New Roman"/>
          <w:sz w:val="18"/>
          <w:szCs w:val="18"/>
        </w:rPr>
        <w:t xml:space="preserve"> and </w:t>
      </w:r>
      <w:r w:rsidRPr="00965A42">
        <w:rPr>
          <w:rFonts w:ascii="Times New Roman" w:hAnsi="Times New Roman" w:cs="Times New Roman"/>
          <w:i/>
          <w:iCs/>
          <w:sz w:val="18"/>
          <w:szCs w:val="18"/>
        </w:rPr>
        <w:t>Black's Law Dictionary</w:t>
      </w:r>
      <w:r w:rsidRPr="00965A42">
        <w:rPr>
          <w:rFonts w:ascii="Times New Roman" w:hAnsi="Times New Roman" w:cs="Times New Roman"/>
          <w:sz w:val="18"/>
          <w:szCs w:val="18"/>
        </w:rPr>
        <w:t xml:space="preserve">. According to William Blackstone's declaratory theory the common law reaffirmed pre-existing customs but did not make new </w:t>
      </w:r>
      <w:proofErr w:type="gramStart"/>
      <w:r w:rsidRPr="00965A42">
        <w:rPr>
          <w:rFonts w:ascii="Times New Roman" w:hAnsi="Times New Roman" w:cs="Times New Roman"/>
          <w:sz w:val="18"/>
          <w:szCs w:val="18"/>
        </w:rPr>
        <w:t>law</w:t>
      </w:r>
      <w:proofErr w:type="gramEnd"/>
      <w:r w:rsidRPr="00965A42">
        <w:rPr>
          <w:rFonts w:ascii="Times New Roman" w:hAnsi="Times New Roman" w:cs="Times New Roman"/>
          <w:sz w:val="18"/>
          <w:szCs w:val="18"/>
        </w:rPr>
        <w:t>. The term "judge-made law" was introduced by Jeremy Bentham as a criticism of this pretense of the legal profession.</w:t>
      </w:r>
    </w:p>
    <w:p w14:paraId="0D21AA66" w14:textId="0E810F97" w:rsidR="00B01CDC" w:rsidRPr="00965A42" w:rsidRDefault="005B4964" w:rsidP="00534458">
      <w:pPr>
        <w:jc w:val="both"/>
        <w:rPr>
          <w:rFonts w:ascii="Times New Roman" w:hAnsi="Times New Roman" w:cs="Times New Roman"/>
          <w:sz w:val="18"/>
          <w:szCs w:val="18"/>
        </w:rPr>
      </w:pPr>
      <w:r w:rsidRPr="00965A42">
        <w:rPr>
          <w:rFonts w:ascii="Times New Roman" w:hAnsi="Times New Roman" w:cs="Times New Roman"/>
          <w:sz w:val="18"/>
          <w:szCs w:val="18"/>
        </w:rPr>
        <w:t>The word</w:t>
      </w:r>
      <w:hyperlink r:id="rId7" w:anchor="Ref-7" w:history="1"/>
      <w:r w:rsidR="00B01CDC" w:rsidRPr="00965A42">
        <w:rPr>
          <w:rFonts w:ascii="Times New Roman" w:hAnsi="Times New Roman" w:cs="Times New Roman"/>
          <w:sz w:val="18"/>
          <w:szCs w:val="18"/>
        </w:rPr>
        <w:t xml:space="preserve"> "</w:t>
      </w:r>
      <w:r w:rsidR="00B01CDC" w:rsidRPr="00965A42">
        <w:rPr>
          <w:rFonts w:ascii="Times New Roman" w:hAnsi="Times New Roman" w:cs="Times New Roman"/>
          <w:b/>
          <w:bCs/>
          <w:sz w:val="18"/>
          <w:szCs w:val="18"/>
        </w:rPr>
        <w:t>Statute</w:t>
      </w:r>
      <w:r w:rsidR="00B01CDC" w:rsidRPr="00965A42">
        <w:rPr>
          <w:rFonts w:ascii="Times New Roman" w:hAnsi="Times New Roman" w:cs="Times New Roman"/>
          <w:sz w:val="18"/>
          <w:szCs w:val="18"/>
        </w:rPr>
        <w:t xml:space="preserve">" and earlier English spellings were derived from the Old French words </w:t>
      </w:r>
      <w:proofErr w:type="spellStart"/>
      <w:r w:rsidR="00B01CDC" w:rsidRPr="00965A42">
        <w:rPr>
          <w:rFonts w:ascii="Times New Roman" w:hAnsi="Times New Roman" w:cs="Times New Roman"/>
          <w:i/>
          <w:iCs/>
          <w:sz w:val="18"/>
          <w:szCs w:val="18"/>
        </w:rPr>
        <w:t>statut</w:t>
      </w:r>
      <w:proofErr w:type="spellEnd"/>
      <w:r w:rsidR="00B01CDC" w:rsidRPr="00965A42">
        <w:rPr>
          <w:rFonts w:ascii="Times New Roman" w:hAnsi="Times New Roman" w:cs="Times New Roman"/>
          <w:sz w:val="18"/>
          <w:szCs w:val="18"/>
        </w:rPr>
        <w:t xml:space="preserve">, </w:t>
      </w:r>
      <w:proofErr w:type="spellStart"/>
      <w:r w:rsidR="00B01CDC" w:rsidRPr="00965A42">
        <w:rPr>
          <w:rFonts w:ascii="Times New Roman" w:hAnsi="Times New Roman" w:cs="Times New Roman"/>
          <w:i/>
          <w:iCs/>
          <w:sz w:val="18"/>
          <w:szCs w:val="18"/>
        </w:rPr>
        <w:t>estatut</w:t>
      </w:r>
      <w:proofErr w:type="spellEnd"/>
      <w:r w:rsidR="00B01CDC" w:rsidRPr="00965A42">
        <w:rPr>
          <w:rFonts w:ascii="Times New Roman" w:hAnsi="Times New Roman" w:cs="Times New Roman"/>
          <w:sz w:val="18"/>
          <w:szCs w:val="18"/>
        </w:rPr>
        <w:t xml:space="preserve">, </w:t>
      </w:r>
      <w:proofErr w:type="spellStart"/>
      <w:r w:rsidR="00B01CDC" w:rsidRPr="00965A42">
        <w:rPr>
          <w:rFonts w:ascii="Times New Roman" w:hAnsi="Times New Roman" w:cs="Times New Roman"/>
          <w:i/>
          <w:iCs/>
          <w:sz w:val="18"/>
          <w:szCs w:val="18"/>
        </w:rPr>
        <w:t>estatu</w:t>
      </w:r>
      <w:proofErr w:type="spellEnd"/>
      <w:r w:rsidR="00B01CDC" w:rsidRPr="00965A42">
        <w:rPr>
          <w:rFonts w:ascii="Times New Roman" w:hAnsi="Times New Roman" w:cs="Times New Roman"/>
          <w:i/>
          <w:iCs/>
          <w:sz w:val="18"/>
          <w:szCs w:val="18"/>
        </w:rPr>
        <w:t>,</w:t>
      </w:r>
      <w:r w:rsidR="00B01CDC" w:rsidRPr="00965A42">
        <w:rPr>
          <w:rFonts w:ascii="Times New Roman" w:hAnsi="Times New Roman" w:cs="Times New Roman"/>
          <w:sz w:val="18"/>
          <w:szCs w:val="18"/>
        </w:rPr>
        <w:t xml:space="preserve"> meaning "royal promulgation, legal statute." These terms were in turn derived from the Late Latin </w:t>
      </w:r>
      <w:proofErr w:type="spellStart"/>
      <w:r w:rsidR="00B01CDC" w:rsidRPr="00965A42">
        <w:rPr>
          <w:rFonts w:ascii="Times New Roman" w:hAnsi="Times New Roman" w:cs="Times New Roman"/>
          <w:i/>
          <w:iCs/>
          <w:sz w:val="18"/>
          <w:szCs w:val="18"/>
        </w:rPr>
        <w:t>statutum</w:t>
      </w:r>
      <w:proofErr w:type="spellEnd"/>
      <w:r w:rsidR="00B01CDC" w:rsidRPr="00965A42">
        <w:rPr>
          <w:rFonts w:ascii="Times New Roman" w:hAnsi="Times New Roman" w:cs="Times New Roman"/>
          <w:i/>
          <w:iCs/>
          <w:sz w:val="18"/>
          <w:szCs w:val="18"/>
        </w:rPr>
        <w:t>,</w:t>
      </w:r>
      <w:r w:rsidR="00B01CDC" w:rsidRPr="00965A42">
        <w:rPr>
          <w:rFonts w:ascii="Times New Roman" w:hAnsi="Times New Roman" w:cs="Times New Roman"/>
          <w:sz w:val="18"/>
          <w:szCs w:val="18"/>
        </w:rPr>
        <w:t xml:space="preserve"> meaning "a law, decree." The word appears in use in English as early as the 14th century. Statutes typically declare, command or prohibit something. Statutes are distinguished </w:t>
      </w:r>
      <w:proofErr w:type="gramStart"/>
      <w:r w:rsidR="00B01CDC" w:rsidRPr="00965A42">
        <w:rPr>
          <w:rFonts w:ascii="Times New Roman" w:hAnsi="Times New Roman" w:cs="Times New Roman"/>
          <w:sz w:val="18"/>
          <w:szCs w:val="18"/>
        </w:rPr>
        <w:t>from  court</w:t>
      </w:r>
      <w:proofErr w:type="gramEnd"/>
      <w:r w:rsidR="00B01CDC" w:rsidRPr="00965A42">
        <w:rPr>
          <w:rFonts w:ascii="Times New Roman" w:hAnsi="Times New Roman" w:cs="Times New Roman"/>
          <w:sz w:val="18"/>
          <w:szCs w:val="18"/>
        </w:rPr>
        <w:t xml:space="preserve"> law and unwritten law or common law, in that they are the expressed will of </w:t>
      </w:r>
      <w:proofErr w:type="gramStart"/>
      <w:r w:rsidR="00B01CDC" w:rsidRPr="00965A42">
        <w:rPr>
          <w:rFonts w:ascii="Times New Roman" w:hAnsi="Times New Roman" w:cs="Times New Roman"/>
          <w:sz w:val="18"/>
          <w:szCs w:val="18"/>
        </w:rPr>
        <w:t>a  legislative</w:t>
      </w:r>
      <w:proofErr w:type="gramEnd"/>
      <w:r w:rsidR="00B01CDC" w:rsidRPr="00965A42">
        <w:rPr>
          <w:rFonts w:ascii="Times New Roman" w:hAnsi="Times New Roman" w:cs="Times New Roman"/>
          <w:sz w:val="18"/>
          <w:szCs w:val="18"/>
        </w:rPr>
        <w:t xml:space="preserve"> body, whether that be on the behalf of a country, state or province, county, municipality, or so on. They are also distinguished from secondary legislation, or regulations, that are issued by an executive body under authority granted by a statute. Depending on </w:t>
      </w:r>
      <w:proofErr w:type="gramStart"/>
      <w:r w:rsidR="00B01CDC" w:rsidRPr="00965A42">
        <w:rPr>
          <w:rFonts w:ascii="Times New Roman" w:hAnsi="Times New Roman" w:cs="Times New Roman"/>
          <w:sz w:val="18"/>
          <w:szCs w:val="18"/>
        </w:rPr>
        <w:t>the  legal</w:t>
      </w:r>
      <w:proofErr w:type="gramEnd"/>
      <w:r w:rsidR="00B01CDC" w:rsidRPr="00965A42">
        <w:rPr>
          <w:rFonts w:ascii="Times New Roman" w:hAnsi="Times New Roman" w:cs="Times New Roman"/>
          <w:sz w:val="18"/>
          <w:szCs w:val="18"/>
        </w:rPr>
        <w:t xml:space="preserve"> system, a statute may also be referred to as an "act." In international law, the term "statute" is also used to refer to an </w:t>
      </w:r>
      <w:proofErr w:type="gramStart"/>
      <w:r w:rsidR="00B01CDC" w:rsidRPr="00965A42">
        <w:rPr>
          <w:rFonts w:ascii="Times New Roman" w:hAnsi="Times New Roman" w:cs="Times New Roman"/>
          <w:sz w:val="18"/>
          <w:szCs w:val="18"/>
        </w:rPr>
        <w:t>International</w:t>
      </w:r>
      <w:proofErr w:type="gramEnd"/>
      <w:r w:rsidR="00B01CDC" w:rsidRPr="00965A42">
        <w:rPr>
          <w:rFonts w:ascii="Times New Roman" w:hAnsi="Times New Roman" w:cs="Times New Roman"/>
          <w:sz w:val="18"/>
          <w:szCs w:val="18"/>
        </w:rPr>
        <w:t xml:space="preserve"> treaty that establishes an institution, such as the Statute of the European Central Bank, a protocol to the international courts as well, such as the Statute of the International Court of Justice and the Rome Statute of the International Criminal Court. "Statute" is also another word for law. The term was adapted from England in about the 18th century. In autonomous communities, an autonomy statute is </w:t>
      </w:r>
      <w:r w:rsidR="00B01CDC" w:rsidRPr="00965A42">
        <w:rPr>
          <w:rFonts w:ascii="Times New Roman" w:hAnsi="Times New Roman" w:cs="Times New Roman"/>
          <w:sz w:val="18"/>
          <w:szCs w:val="18"/>
        </w:rPr>
        <w:lastRenderedPageBreak/>
        <w:t xml:space="preserve">a legal document </w:t>
      </w:r>
      <w:proofErr w:type="gramStart"/>
      <w:r w:rsidR="00B01CDC" w:rsidRPr="00965A42">
        <w:rPr>
          <w:rFonts w:ascii="Times New Roman" w:hAnsi="Times New Roman" w:cs="Times New Roman"/>
          <w:sz w:val="18"/>
          <w:szCs w:val="18"/>
        </w:rPr>
        <w:t>similar to</w:t>
      </w:r>
      <w:proofErr w:type="gramEnd"/>
      <w:r w:rsidR="00B01CDC" w:rsidRPr="00965A42">
        <w:rPr>
          <w:rFonts w:ascii="Times New Roman" w:hAnsi="Times New Roman" w:cs="Times New Roman"/>
          <w:sz w:val="18"/>
          <w:szCs w:val="18"/>
        </w:rPr>
        <w:t xml:space="preserve"> the constitution of a federated state, save that it is enacted by the national legislature, rather than the autonomous community it governs. The autonomy statutes in Spain have the rank of </w:t>
      </w:r>
      <w:r w:rsidR="00B01CDC" w:rsidRPr="00965A42">
        <w:rPr>
          <w:rFonts w:ascii="Times New Roman" w:hAnsi="Times New Roman" w:cs="Times New Roman"/>
          <w:i/>
          <w:iCs/>
          <w:sz w:val="18"/>
          <w:szCs w:val="18"/>
        </w:rPr>
        <w:t xml:space="preserve">ley </w:t>
      </w:r>
      <w:proofErr w:type="spellStart"/>
      <w:r w:rsidR="00B01CDC" w:rsidRPr="00965A42">
        <w:rPr>
          <w:rFonts w:ascii="Times New Roman" w:hAnsi="Times New Roman" w:cs="Times New Roman"/>
          <w:i/>
          <w:iCs/>
          <w:sz w:val="18"/>
          <w:szCs w:val="18"/>
        </w:rPr>
        <w:t>orgánica</w:t>
      </w:r>
      <w:proofErr w:type="spellEnd"/>
      <w:r w:rsidR="00B01CDC" w:rsidRPr="00965A42">
        <w:rPr>
          <w:rFonts w:ascii="Times New Roman" w:hAnsi="Times New Roman" w:cs="Times New Roman"/>
          <w:sz w:val="18"/>
          <w:szCs w:val="18"/>
        </w:rPr>
        <w:t xml:space="preserve"> (organic law), a category of special legislation reserved for the main institutions and issues and mentioned in the constitution (the </w:t>
      </w:r>
      <w:proofErr w:type="gramStart"/>
      <w:r w:rsidR="00B01CDC" w:rsidRPr="00965A42">
        <w:rPr>
          <w:rFonts w:ascii="Times New Roman" w:hAnsi="Times New Roman" w:cs="Times New Roman"/>
          <w:sz w:val="18"/>
          <w:szCs w:val="18"/>
        </w:rPr>
        <w:t>highest ranking</w:t>
      </w:r>
      <w:proofErr w:type="gramEnd"/>
      <w:r w:rsidR="00B01CDC" w:rsidRPr="00965A42">
        <w:rPr>
          <w:rFonts w:ascii="Times New Roman" w:hAnsi="Times New Roman" w:cs="Times New Roman"/>
          <w:sz w:val="18"/>
          <w:szCs w:val="18"/>
        </w:rPr>
        <w:t xml:space="preserve"> legal instrument in Spain). </w:t>
      </w:r>
      <w:r w:rsidR="00B01CDC" w:rsidRPr="00965A42">
        <w:rPr>
          <w:rFonts w:ascii="Times New Roman" w:hAnsi="Times New Roman" w:cs="Times New Roman"/>
          <w:i/>
          <w:iCs/>
          <w:sz w:val="18"/>
          <w:szCs w:val="18"/>
        </w:rPr>
        <w:t xml:space="preserve">Leyes </w:t>
      </w:r>
      <w:proofErr w:type="spellStart"/>
      <w:r w:rsidR="00B01CDC" w:rsidRPr="00965A42">
        <w:rPr>
          <w:rFonts w:ascii="Times New Roman" w:hAnsi="Times New Roman" w:cs="Times New Roman"/>
          <w:i/>
          <w:iCs/>
          <w:sz w:val="18"/>
          <w:szCs w:val="18"/>
        </w:rPr>
        <w:t>orgánicas</w:t>
      </w:r>
      <w:proofErr w:type="spellEnd"/>
      <w:r w:rsidR="00B01CDC" w:rsidRPr="00965A42">
        <w:rPr>
          <w:rFonts w:ascii="Times New Roman" w:hAnsi="Times New Roman" w:cs="Times New Roman"/>
          <w:sz w:val="18"/>
          <w:szCs w:val="18"/>
        </w:rPr>
        <w:t xml:space="preserve"> rank between the constitution and ordinary laws. The name was chosen, among others, to avoid confusion with the term </w:t>
      </w:r>
      <w:r w:rsidR="00B01CDC" w:rsidRPr="00965A42">
        <w:rPr>
          <w:rFonts w:ascii="Times New Roman" w:hAnsi="Times New Roman" w:cs="Times New Roman"/>
          <w:i/>
          <w:iCs/>
          <w:sz w:val="18"/>
          <w:szCs w:val="18"/>
        </w:rPr>
        <w:t>constitution</w:t>
      </w:r>
      <w:r w:rsidR="00B01CDC" w:rsidRPr="00965A42">
        <w:rPr>
          <w:rFonts w:ascii="Times New Roman" w:hAnsi="Times New Roman" w:cs="Times New Roman"/>
          <w:sz w:val="18"/>
          <w:szCs w:val="18"/>
        </w:rPr>
        <w:t xml:space="preserve"> (i.e. the Spanish constitution of 1978). The by-laws of some universities, particularly in the United Kingdom, are termed statutes. Revision of these normally requires permission from the Privy Council.</w:t>
      </w:r>
    </w:p>
    <w:p w14:paraId="389A9C21" w14:textId="2AEF19C6" w:rsidR="00B01CDC" w:rsidRPr="00965A42" w:rsidRDefault="00B02443" w:rsidP="00B02443">
      <w:pPr>
        <w:jc w:val="center"/>
        <w:rPr>
          <w:rFonts w:ascii="Times New Roman" w:hAnsi="Times New Roman" w:cs="Times New Roman"/>
          <w:b/>
          <w:bCs/>
          <w:color w:val="C00000"/>
          <w:sz w:val="18"/>
          <w:szCs w:val="18"/>
        </w:rPr>
      </w:pPr>
      <w:r w:rsidRPr="00965A42">
        <w:rPr>
          <w:rFonts w:ascii="Times New Roman" w:hAnsi="Times New Roman" w:cs="Times New Roman"/>
          <w:b/>
          <w:bCs/>
          <w:color w:val="C00000"/>
          <w:sz w:val="18"/>
          <w:szCs w:val="18"/>
        </w:rPr>
        <w:t>Occupation without legal title</w:t>
      </w:r>
      <w:r w:rsidR="00965A42">
        <w:rPr>
          <w:rFonts w:ascii="Times New Roman" w:hAnsi="Times New Roman" w:cs="Times New Roman"/>
          <w:b/>
          <w:bCs/>
          <w:color w:val="C00000"/>
          <w:sz w:val="18"/>
          <w:szCs w:val="18"/>
        </w:rPr>
        <w:t xml:space="preserve"> </w:t>
      </w:r>
    </w:p>
    <w:p w14:paraId="4C0CBC18" w14:textId="1081401B"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It is sometimes colloquially described as </w:t>
      </w:r>
      <w:r w:rsidRPr="00965A42">
        <w:rPr>
          <w:rFonts w:ascii="Times New Roman" w:hAnsi="Times New Roman" w:cs="Times New Roman"/>
          <w:b/>
          <w:bCs/>
          <w:i/>
          <w:iCs/>
          <w:sz w:val="18"/>
          <w:szCs w:val="18"/>
        </w:rPr>
        <w:t>squatter's rights</w:t>
      </w:r>
      <w:r w:rsidRPr="00965A42">
        <w:rPr>
          <w:rFonts w:ascii="Times New Roman" w:hAnsi="Times New Roman" w:cs="Times New Roman"/>
          <w:sz w:val="18"/>
          <w:szCs w:val="18"/>
        </w:rPr>
        <w:t>, a term associated with occupation without legal title during the westward expansion in North America, as occupying real property without permission is central to adverse possession. Some jurisdictions regulate squatting separately from adverse possession.</w:t>
      </w:r>
      <w:r w:rsidR="00965A42">
        <w:rPr>
          <w:rFonts w:ascii="Times New Roman" w:hAnsi="Times New Roman" w:cs="Times New Roman"/>
          <w:sz w:val="18"/>
          <w:szCs w:val="18"/>
        </w:rPr>
        <w:t xml:space="preserve"> </w:t>
      </w:r>
      <w:r w:rsidR="00965A42" w:rsidRPr="00965A42">
        <w:rPr>
          <w:rFonts w:ascii="Times New Roman" w:hAnsi="Times New Roman" w:cs="Times New Roman"/>
          <w:b/>
          <w:bCs/>
          <w:sz w:val="18"/>
          <w:szCs w:val="18"/>
        </w:rPr>
        <w:t>Legal title cannot be acquired in an extralegal jurisdiction.</w:t>
      </w:r>
    </w:p>
    <w:p w14:paraId="1F98BC9D"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Description</w:t>
      </w:r>
    </w:p>
    <w:p w14:paraId="418888FC" w14:textId="5B37ABD1"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general, a property owner has the right to recover </w:t>
      </w:r>
      <w:proofErr w:type="gramStart"/>
      <w:r w:rsidRPr="00965A42">
        <w:rPr>
          <w:rFonts w:ascii="Times New Roman" w:hAnsi="Times New Roman" w:cs="Times New Roman"/>
          <w:sz w:val="18"/>
          <w:szCs w:val="18"/>
        </w:rPr>
        <w:t>possession of their property</w:t>
      </w:r>
      <w:proofErr w:type="gramEnd"/>
      <w:r w:rsidRPr="00965A42">
        <w:rPr>
          <w:rFonts w:ascii="Times New Roman" w:hAnsi="Times New Roman" w:cs="Times New Roman"/>
          <w:sz w:val="18"/>
          <w:szCs w:val="18"/>
        </w:rPr>
        <w:t xml:space="preserve"> from </w:t>
      </w:r>
      <w:r w:rsidR="00B02443" w:rsidRPr="00965A42">
        <w:rPr>
          <w:rFonts w:ascii="Times New Roman" w:hAnsi="Times New Roman" w:cs="Times New Roman"/>
          <w:sz w:val="18"/>
          <w:szCs w:val="18"/>
        </w:rPr>
        <w:t>unauthorized</w:t>
      </w:r>
      <w:r w:rsidRPr="00965A42">
        <w:rPr>
          <w:rFonts w:ascii="Times New Roman" w:hAnsi="Times New Roman" w:cs="Times New Roman"/>
          <w:sz w:val="18"/>
          <w:szCs w:val="18"/>
        </w:rPr>
        <w:t xml:space="preserve"> possessors through legal action such as ejectment. However, many legal systems courts recognize that once someone has occupied property without permission for a significant period of time without the property owner exercising their right to recover their property, not only is the original owner prevented from exercising their right to eject, but a new title to the property "springs up" in the adverse possessor. In effect, the adverse possessor becomes the property's new owner. Over time, legislatures created statutes of limitations setting a time limit for how long owners </w:t>
      </w:r>
      <w:proofErr w:type="gramStart"/>
      <w:r w:rsidRPr="00965A42">
        <w:rPr>
          <w:rFonts w:ascii="Times New Roman" w:hAnsi="Times New Roman" w:cs="Times New Roman"/>
          <w:sz w:val="18"/>
          <w:szCs w:val="18"/>
        </w:rPr>
        <w:t>have to</w:t>
      </w:r>
      <w:proofErr w:type="gramEnd"/>
      <w:r w:rsidRPr="00965A42">
        <w:rPr>
          <w:rFonts w:ascii="Times New Roman" w:hAnsi="Times New Roman" w:cs="Times New Roman"/>
          <w:sz w:val="18"/>
          <w:szCs w:val="18"/>
        </w:rPr>
        <w:t xml:space="preserve"> recover possession of their property from adverse possessors. In the United States, for example, these limitation periods vary widely between individual states, ranging from as low as three years to as long as 40 years.</w:t>
      </w:r>
    </w:p>
    <w:p w14:paraId="2DFBFCFF" w14:textId="5912AA44"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Although the elements of an adverse possession action differ by jurisdiction, a person claiming adverse possession in a common law system is usually required to prove non-permissive use of the property that is actual, open and notorious, exclusive, adverse and continuous for the statutory period.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The possession by a person is not adverse during periods when they are in possession as a tenant or licensee of the legal owner.</w:t>
      </w:r>
    </w:p>
    <w:p w14:paraId="3725871F" w14:textId="7EDB2983"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Civil Law jurisdictions may recognize a similar right of </w:t>
      </w:r>
      <w:r w:rsidRPr="00965A42">
        <w:rPr>
          <w:rFonts w:ascii="Times New Roman" w:hAnsi="Times New Roman" w:cs="Times New Roman"/>
          <w:i/>
          <w:iCs/>
          <w:sz w:val="18"/>
          <w:szCs w:val="18"/>
        </w:rPr>
        <w:t>acquisitive prescription</w:t>
      </w:r>
      <w:r w:rsidRPr="00965A42">
        <w:rPr>
          <w:rFonts w:ascii="Times New Roman" w:hAnsi="Times New Roman" w:cs="Times New Roman"/>
          <w:sz w:val="18"/>
          <w:szCs w:val="18"/>
        </w:rPr>
        <w:t>. For example, the French Code Civil 2258 et. seq. recognizes that title may be acquired through thirty years of "continuous and uninterrupted possession which is peaceful, public, unequivocal, and as owner." It is related to the Roman law concept of usucaption or </w:t>
      </w:r>
      <w:proofErr w:type="spellStart"/>
      <w:r w:rsidRPr="00965A42">
        <w:rPr>
          <w:rFonts w:ascii="Times New Roman" w:hAnsi="Times New Roman" w:cs="Times New Roman"/>
          <w:sz w:val="18"/>
          <w:szCs w:val="18"/>
        </w:rPr>
        <w:t>usucapio</w:t>
      </w:r>
      <w:proofErr w:type="spellEnd"/>
      <w:r w:rsidRPr="00965A42">
        <w:rPr>
          <w:rFonts w:ascii="Times New Roman" w:hAnsi="Times New Roman" w:cs="Times New Roman"/>
          <w:sz w:val="18"/>
          <w:szCs w:val="18"/>
        </w:rPr>
        <w:t>.</w:t>
      </w:r>
      <w:r w:rsidR="00B771AC" w:rsidRPr="00965A42">
        <w:rPr>
          <w:rFonts w:ascii="Times New Roman" w:hAnsi="Times New Roman" w:cs="Times New Roman"/>
          <w:sz w:val="18"/>
          <w:szCs w:val="18"/>
        </w:rPr>
        <w:t xml:space="preserve"> </w:t>
      </w:r>
    </w:p>
    <w:p w14:paraId="35BD8ADA" w14:textId="10D0D90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Denmark, the concept was first mentioned as "</w:t>
      </w:r>
      <w:proofErr w:type="spellStart"/>
      <w:r w:rsidRPr="00965A42">
        <w:rPr>
          <w:rFonts w:ascii="Times New Roman" w:hAnsi="Times New Roman" w:cs="Times New Roman"/>
          <w:sz w:val="18"/>
          <w:szCs w:val="18"/>
        </w:rPr>
        <w:t>Hævd</w:t>
      </w:r>
      <w:proofErr w:type="spellEnd"/>
      <w:r w:rsidRPr="00965A42">
        <w:rPr>
          <w:rFonts w:ascii="Times New Roman" w:hAnsi="Times New Roman" w:cs="Times New Roman"/>
          <w:sz w:val="18"/>
          <w:szCs w:val="18"/>
        </w:rPr>
        <w:t xml:space="preserve">" in Jyske Lov in 1241, though only regulating between peasants and the church, with an asymmetric time limit of 30 years for the church, and 40 years for the peasant. In 1475, the </w:t>
      </w:r>
      <w:proofErr w:type="gramStart"/>
      <w:r w:rsidRPr="00965A42">
        <w:rPr>
          <w:rFonts w:ascii="Times New Roman" w:hAnsi="Times New Roman" w:cs="Times New Roman"/>
          <w:sz w:val="18"/>
          <w:szCs w:val="18"/>
        </w:rPr>
        <w:t>40 year</w:t>
      </w:r>
      <w:proofErr w:type="gramEnd"/>
      <w:r w:rsidRPr="00965A42">
        <w:rPr>
          <w:rFonts w:ascii="Times New Roman" w:hAnsi="Times New Roman" w:cs="Times New Roman"/>
          <w:sz w:val="18"/>
          <w:szCs w:val="18"/>
        </w:rPr>
        <w:t xml:space="preserve"> limit was ruled to apply between farmers as well. In 1547</w:t>
      </w:r>
      <w:r w:rsidR="00B02443" w:rsidRPr="00965A42">
        <w:rPr>
          <w:rFonts w:ascii="Times New Roman" w:hAnsi="Times New Roman" w:cs="Times New Roman"/>
          <w:sz w:val="18"/>
          <w:szCs w:val="18"/>
        </w:rPr>
        <w:t xml:space="preserve">, </w:t>
      </w:r>
      <w:r w:rsidRPr="00965A42">
        <w:rPr>
          <w:rFonts w:ascii="Times New Roman" w:hAnsi="Times New Roman" w:cs="Times New Roman"/>
          <w:sz w:val="18"/>
          <w:szCs w:val="18"/>
        </w:rPr>
        <w:t>after the Reformation</w:t>
      </w:r>
      <w:r w:rsidR="00B02443" w:rsidRPr="00965A42">
        <w:rPr>
          <w:rFonts w:ascii="Times New Roman" w:hAnsi="Times New Roman" w:cs="Times New Roman"/>
          <w:sz w:val="18"/>
          <w:szCs w:val="18"/>
        </w:rPr>
        <w:t>,</w:t>
      </w:r>
      <w:r w:rsidRPr="00965A42">
        <w:rPr>
          <w:rFonts w:ascii="Times New Roman" w:hAnsi="Times New Roman" w:cs="Times New Roman"/>
          <w:sz w:val="18"/>
          <w:szCs w:val="18"/>
        </w:rPr>
        <w:t xml:space="preserve"> a rule was passed to change this to 20 years for everyone. The rule was later adopted into the Danish Code, published in 1683, this specific part still being in force today. The Norwegian Code from 1688, also contains a similar provision.</w:t>
      </w:r>
      <w:r w:rsidR="00B771AC" w:rsidRPr="00965A42">
        <w:rPr>
          <w:rFonts w:ascii="Times New Roman" w:hAnsi="Times New Roman" w:cs="Times New Roman"/>
          <w:sz w:val="18"/>
          <w:szCs w:val="18"/>
        </w:rPr>
        <w:t xml:space="preserve"> </w:t>
      </w:r>
    </w:p>
    <w:p w14:paraId="438497D3" w14:textId="761518C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Personal property, traditionally known as chattel, may also be adversely possessed, but owing to the differences </w:t>
      </w:r>
      <w:proofErr w:type="gramStart"/>
      <w:r w:rsidRPr="00965A42">
        <w:rPr>
          <w:rFonts w:ascii="Times New Roman" w:hAnsi="Times New Roman" w:cs="Times New Roman"/>
          <w:sz w:val="18"/>
          <w:szCs w:val="18"/>
        </w:rPr>
        <w:t>in the nature of real</w:t>
      </w:r>
      <w:proofErr w:type="gramEnd"/>
      <w:r w:rsidRPr="00965A42">
        <w:rPr>
          <w:rFonts w:ascii="Times New Roman" w:hAnsi="Times New Roman" w:cs="Times New Roman"/>
          <w:sz w:val="18"/>
          <w:szCs w:val="18"/>
        </w:rPr>
        <w:t xml:space="preserve"> and chattel property, the rules governing such claims are rather more stringent, and </w:t>
      </w:r>
      <w:r w:rsidR="00B771AC" w:rsidRPr="00965A42">
        <w:rPr>
          <w:rFonts w:ascii="Times New Roman" w:hAnsi="Times New Roman" w:cs="Times New Roman"/>
          <w:sz w:val="18"/>
          <w:szCs w:val="18"/>
        </w:rPr>
        <w:t>favor</w:t>
      </w:r>
      <w:r w:rsidRPr="00965A42">
        <w:rPr>
          <w:rFonts w:ascii="Times New Roman" w:hAnsi="Times New Roman" w:cs="Times New Roman"/>
          <w:sz w:val="18"/>
          <w:szCs w:val="18"/>
        </w:rPr>
        <w:t xml:space="preserve"> the legal owner rather than the adverse possessor. Claims for adverse possession of chattel often involve works of art.</w:t>
      </w:r>
    </w:p>
    <w:p w14:paraId="50C15032"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History</w:t>
      </w:r>
    </w:p>
    <w:p w14:paraId="232E6023" w14:textId="40423B2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Roman law, </w:t>
      </w:r>
      <w:proofErr w:type="spellStart"/>
      <w:r w:rsidRPr="00965A42">
        <w:rPr>
          <w:rFonts w:ascii="Times New Roman" w:hAnsi="Times New Roman" w:cs="Times New Roman"/>
          <w:i/>
          <w:iCs/>
          <w:sz w:val="18"/>
          <w:szCs w:val="18"/>
        </w:rPr>
        <w:t>usucapio</w:t>
      </w:r>
      <w:proofErr w:type="spellEnd"/>
      <w:r w:rsidRPr="00965A42">
        <w:rPr>
          <w:rFonts w:ascii="Times New Roman" w:hAnsi="Times New Roman" w:cs="Times New Roman"/>
          <w:sz w:val="18"/>
          <w:szCs w:val="18"/>
        </w:rPr>
        <w:t> laws allowed someone who was in possession of a good without title to become the lawful proprietor if the original owner did not appear after some time</w:t>
      </w:r>
      <w:r w:rsidR="00B02443" w:rsidRPr="00965A42">
        <w:rPr>
          <w:rFonts w:ascii="Times New Roman" w:hAnsi="Times New Roman" w:cs="Times New Roman"/>
          <w:sz w:val="18"/>
          <w:szCs w:val="18"/>
        </w:rPr>
        <w:t xml:space="preserve">; usually </w:t>
      </w:r>
      <w:r w:rsidRPr="00965A42">
        <w:rPr>
          <w:rFonts w:ascii="Times New Roman" w:hAnsi="Times New Roman" w:cs="Times New Roman"/>
          <w:sz w:val="18"/>
          <w:szCs w:val="18"/>
        </w:rPr>
        <w:t>one or two years, unless the good was obtained illegally</w:t>
      </w:r>
      <w:r w:rsidR="00B02443" w:rsidRPr="00965A42">
        <w:rPr>
          <w:rFonts w:ascii="Times New Roman" w:hAnsi="Times New Roman" w:cs="Times New Roman"/>
          <w:sz w:val="18"/>
          <w:szCs w:val="18"/>
        </w:rPr>
        <w:t xml:space="preserve"> for example, </w:t>
      </w:r>
      <w:r w:rsidRPr="00965A42">
        <w:rPr>
          <w:rFonts w:ascii="Times New Roman" w:hAnsi="Times New Roman" w:cs="Times New Roman"/>
          <w:sz w:val="18"/>
          <w:szCs w:val="18"/>
        </w:rPr>
        <w:t>by theft or force</w:t>
      </w:r>
      <w:r w:rsidR="00B02443" w:rsidRPr="00965A42">
        <w:rPr>
          <w:rFonts w:ascii="Times New Roman" w:hAnsi="Times New Roman" w:cs="Times New Roman"/>
          <w:sz w:val="18"/>
          <w:szCs w:val="18"/>
        </w:rPr>
        <w:t>, such as via foreclosure or eviction</w:t>
      </w:r>
      <w:r w:rsidRPr="00965A42">
        <w:rPr>
          <w:rFonts w:ascii="Times New Roman" w:hAnsi="Times New Roman" w:cs="Times New Roman"/>
          <w:sz w:val="18"/>
          <w:szCs w:val="18"/>
        </w:rPr>
        <w:t xml:space="preserve">. Stemming from Roman law and its successor, the Napoleonic Code generally recognizes two time periods for the acquisition of property: 30 years and some lesser </w:t>
      </w:r>
      <w:proofErr w:type="gramStart"/>
      <w:r w:rsidRPr="00965A42">
        <w:rPr>
          <w:rFonts w:ascii="Times New Roman" w:hAnsi="Times New Roman" w:cs="Times New Roman"/>
          <w:sz w:val="18"/>
          <w:szCs w:val="18"/>
        </w:rPr>
        <w:t>time period</w:t>
      </w:r>
      <w:proofErr w:type="gramEnd"/>
      <w:r w:rsidRPr="00965A42">
        <w:rPr>
          <w:rFonts w:ascii="Times New Roman" w:hAnsi="Times New Roman" w:cs="Times New Roman"/>
          <w:sz w:val="18"/>
          <w:szCs w:val="18"/>
        </w:rPr>
        <w:t>, depending on the </w:t>
      </w:r>
      <w:r w:rsidRPr="00965A42">
        <w:rPr>
          <w:rFonts w:ascii="Times New Roman" w:hAnsi="Times New Roman" w:cs="Times New Roman"/>
          <w:b/>
          <w:bCs/>
          <w:i/>
          <w:iCs/>
          <w:sz w:val="18"/>
          <w:szCs w:val="18"/>
        </w:rPr>
        <w:t>bona fides</w:t>
      </w:r>
      <w:r w:rsidRPr="00965A42">
        <w:rPr>
          <w:rFonts w:ascii="Times New Roman" w:hAnsi="Times New Roman" w:cs="Times New Roman"/>
          <w:sz w:val="18"/>
          <w:szCs w:val="18"/>
        </w:rPr>
        <w:t> of the possessor and the location of the parties involved.</w:t>
      </w:r>
    </w:p>
    <w:p w14:paraId="0DB2ABA9" w14:textId="77777777" w:rsidR="00965A42" w:rsidRDefault="00B02443" w:rsidP="00B02443">
      <w:pPr>
        <w:pStyle w:val="ListParagraph"/>
        <w:jc w:val="both"/>
        <w:rPr>
          <w:rFonts w:ascii="Times New Roman" w:hAnsi="Times New Roman" w:cs="Times New Roman"/>
          <w:sz w:val="18"/>
          <w:szCs w:val="18"/>
        </w:rPr>
      </w:pPr>
      <w:r w:rsidRPr="00965A42">
        <w:rPr>
          <w:rFonts w:ascii="Times New Roman" w:hAnsi="Times New Roman" w:cs="Times New Roman"/>
          <w:b/>
          <w:bCs/>
          <w:i/>
          <w:iCs/>
          <w:sz w:val="18"/>
          <w:szCs w:val="18"/>
        </w:rPr>
        <w:t xml:space="preserve">Bona fides </w:t>
      </w:r>
      <w:r w:rsidRPr="00965A42">
        <w:rPr>
          <w:rFonts w:ascii="Times New Roman" w:hAnsi="Times New Roman" w:cs="Times New Roman"/>
          <w:sz w:val="18"/>
          <w:szCs w:val="18"/>
        </w:rPr>
        <w:t xml:space="preserve">is a Latin phrase meaning "good faith". Its ablative case, meaning "in good faith", which is often used in English as an adjective to mean "genuine". Some Latin phrases have lost their literal meaning over centuries, but Latin: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is</w:t>
      </w:r>
      <w:proofErr w:type="gramEnd"/>
      <w:r w:rsidRPr="00965A42">
        <w:rPr>
          <w:rFonts w:ascii="Times New Roman" w:hAnsi="Times New Roman" w:cs="Times New Roman"/>
          <w:sz w:val="18"/>
          <w:szCs w:val="18"/>
        </w:rPr>
        <w:t xml:space="preserve"> still widely used and interchangeable with its generally accepted modern-day English translation of </w:t>
      </w:r>
      <w:r w:rsidRPr="00965A42">
        <w:rPr>
          <w:rFonts w:ascii="Times New Roman" w:hAnsi="Times New Roman" w:cs="Times New Roman"/>
          <w:i/>
          <w:iCs/>
          <w:sz w:val="18"/>
          <w:szCs w:val="18"/>
        </w:rPr>
        <w:t>good faith</w:t>
      </w:r>
      <w:r w:rsidRPr="00965A42">
        <w:rPr>
          <w:rFonts w:ascii="Times New Roman" w:hAnsi="Times New Roman" w:cs="Times New Roman"/>
          <w:sz w:val="18"/>
          <w:szCs w:val="18"/>
        </w:rPr>
        <w:t xml:space="preserve">. While may be translated as "faith", it embraces a range of meanings within a core concept of "reliability", in the sense of a trust between two parties for the potentiality of a relationship. For the ancient Romans,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was</w:t>
      </w:r>
      <w:proofErr w:type="gramEnd"/>
      <w:r w:rsidRPr="00965A42">
        <w:rPr>
          <w:rFonts w:ascii="Times New Roman" w:hAnsi="Times New Roman" w:cs="Times New Roman"/>
          <w:sz w:val="18"/>
          <w:szCs w:val="18"/>
        </w:rPr>
        <w:t xml:space="preserve"> to be assumed by both sides, with implied responsibilities and both legal and religious consequences if broken. According to Roman law,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requires</w:t>
      </w:r>
      <w:proofErr w:type="gramEnd"/>
      <w:r w:rsidRPr="00965A42">
        <w:rPr>
          <w:rFonts w:ascii="Times New Roman" w:hAnsi="Times New Roman" w:cs="Times New Roman"/>
          <w:sz w:val="18"/>
          <w:szCs w:val="18"/>
        </w:rPr>
        <w:t xml:space="preserve"> that what has been agreed upon be done" and was the principle of acting with integrity. </w:t>
      </w:r>
      <w:r w:rsidRPr="00965A42">
        <w:rPr>
          <w:rFonts w:ascii="Times New Roman" w:hAnsi="Times New Roman" w:cs="Times New Roman"/>
          <w:sz w:val="18"/>
          <w:szCs w:val="18"/>
        </w:rPr>
        <w:lastRenderedPageBreak/>
        <w:t xml:space="preserve">Fides was one of the original virtues to be considered </w:t>
      </w:r>
      <w:proofErr w:type="gramStart"/>
      <w:r w:rsidRPr="00965A42">
        <w:rPr>
          <w:rFonts w:ascii="Times New Roman" w:hAnsi="Times New Roman" w:cs="Times New Roman"/>
          <w:sz w:val="18"/>
          <w:szCs w:val="18"/>
        </w:rPr>
        <w:t>a divinity</w:t>
      </w:r>
      <w:proofErr w:type="gramEnd"/>
      <w:r w:rsidRPr="00965A42">
        <w:rPr>
          <w:rFonts w:ascii="Times New Roman" w:hAnsi="Times New Roman" w:cs="Times New Roman"/>
          <w:sz w:val="18"/>
          <w:szCs w:val="18"/>
        </w:rPr>
        <w:t xml:space="preserve"> in ancient Roman religion. In contemporary English, is synonymous with credentials and identity. The phrase is sometimes used in job </w:t>
      </w:r>
      <w:proofErr w:type="gramStart"/>
      <w:r w:rsidRPr="00965A42">
        <w:rPr>
          <w:rFonts w:ascii="Times New Roman" w:hAnsi="Times New Roman" w:cs="Times New Roman"/>
          <w:sz w:val="18"/>
          <w:szCs w:val="18"/>
        </w:rPr>
        <w:t>advertisements, and</w:t>
      </w:r>
      <w:proofErr w:type="gramEnd"/>
      <w:r w:rsidRPr="00965A42">
        <w:rPr>
          <w:rFonts w:ascii="Times New Roman" w:hAnsi="Times New Roman" w:cs="Times New Roman"/>
          <w:sz w:val="18"/>
          <w:szCs w:val="18"/>
        </w:rPr>
        <w:t xml:space="preserve"> should not be confused with the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occupational qualifications or the employer's good faith effort, as described below. In law, denotes the mental and moral states of honesty and conviction regarding either the truth or the falsity of a proposition, or of a body of opinion; </w:t>
      </w:r>
      <w:proofErr w:type="gramStart"/>
      <w:r w:rsidRPr="00965A42">
        <w:rPr>
          <w:rFonts w:ascii="Times New Roman" w:hAnsi="Times New Roman" w:cs="Times New Roman"/>
          <w:sz w:val="18"/>
          <w:szCs w:val="18"/>
        </w:rPr>
        <w:t>likewise</w:t>
      </w:r>
      <w:proofErr w:type="gramEnd"/>
      <w:r w:rsidRPr="00965A42">
        <w:rPr>
          <w:rFonts w:ascii="Times New Roman" w:hAnsi="Times New Roman" w:cs="Times New Roman"/>
          <w:sz w:val="18"/>
          <w:szCs w:val="18"/>
        </w:rPr>
        <w:t xml:space="preserve"> regarding either the rectitude or the depravity of a line of conduct. As a legal concept, is especially important in matters of equity. The concept of Latin: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is also proclaimed by the original version of </w:t>
      </w:r>
      <w:r w:rsidRPr="00965A42">
        <w:rPr>
          <w:rFonts w:ascii="Times New Roman" w:hAnsi="Times New Roman" w:cs="Times New Roman"/>
          <w:i/>
          <w:iCs/>
          <w:sz w:val="18"/>
          <w:szCs w:val="18"/>
        </w:rPr>
        <w:t>Magna Carta</w:t>
      </w:r>
      <w:r w:rsidRPr="00965A42">
        <w:rPr>
          <w:rFonts w:ascii="Times New Roman" w:hAnsi="Times New Roman" w:cs="Times New Roman"/>
          <w:sz w:val="18"/>
          <w:szCs w:val="18"/>
        </w:rPr>
        <w:t xml:space="preserve">. </w:t>
      </w:r>
    </w:p>
    <w:p w14:paraId="5D7A95E3" w14:textId="77777777" w:rsidR="00965A42" w:rsidRPr="00965A42" w:rsidRDefault="00965A42" w:rsidP="00B02443">
      <w:pPr>
        <w:pStyle w:val="ListParagraph"/>
        <w:jc w:val="both"/>
        <w:rPr>
          <w:rFonts w:ascii="Times New Roman" w:hAnsi="Times New Roman" w:cs="Times New Roman"/>
          <w:sz w:val="8"/>
          <w:szCs w:val="8"/>
        </w:rPr>
      </w:pPr>
    </w:p>
    <w:p w14:paraId="13DFB231" w14:textId="1A7033A9" w:rsidR="00B02443" w:rsidRPr="00965A42" w:rsidRDefault="00B02443" w:rsidP="00B02443">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In contract law, the implied covenant of good faith is a general presumption that the parties to a contract will deal with each other honestly and fairly, so as not to destroy the right of the other party or parties to receive the benefits of the contract. In insurance law, the insurer's breach of the implied covenant may give rise to a legal liability known as insurance bad faith. Most U.S. </w:t>
      </w:r>
      <w:proofErr w:type="gramStart"/>
      <w:r w:rsidRPr="00965A42">
        <w:rPr>
          <w:rFonts w:ascii="Times New Roman" w:hAnsi="Times New Roman" w:cs="Times New Roman"/>
          <w:sz w:val="18"/>
          <w:szCs w:val="18"/>
        </w:rPr>
        <w:t>jurisdictions</w:t>
      </w:r>
      <w:proofErr w:type="gramEnd"/>
      <w:r w:rsidRPr="00965A42">
        <w:rPr>
          <w:rFonts w:ascii="Times New Roman" w:hAnsi="Times New Roman" w:cs="Times New Roman"/>
          <w:sz w:val="18"/>
          <w:szCs w:val="18"/>
        </w:rPr>
        <w:t xml:space="preserve"> view breaches of implied covenants of good faith and fair dealing solely as variants of breach of contract. Linguistically, in the U.S., American English usage of is synonymous with credentials, professional background, and documents attesting a person's identity, which is not synonymous with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occupational qualifications. More recently, other common law countries have begun to adopt good faith as a general principle. In the U.K., the High Court in </w:t>
      </w:r>
      <w:r w:rsidRPr="00965A42">
        <w:rPr>
          <w:rFonts w:ascii="Times New Roman" w:hAnsi="Times New Roman" w:cs="Times New Roman"/>
          <w:i/>
          <w:iCs/>
          <w:sz w:val="18"/>
          <w:szCs w:val="18"/>
        </w:rPr>
        <w:t>Yam Seng Pte Ltd v International Trade Corp Ltd</w:t>
      </w:r>
      <w:r w:rsidRPr="00965A42">
        <w:rPr>
          <w:rFonts w:ascii="Times New Roman" w:hAnsi="Times New Roman" w:cs="Times New Roman"/>
          <w:sz w:val="18"/>
          <w:szCs w:val="18"/>
        </w:rPr>
        <w:t xml:space="preserve"> expressed this preference. In Canada, the Supreme Court declared in </w:t>
      </w:r>
      <w:r w:rsidRPr="00965A42">
        <w:rPr>
          <w:rFonts w:ascii="Times New Roman" w:hAnsi="Times New Roman" w:cs="Times New Roman"/>
          <w:i/>
          <w:iCs/>
          <w:sz w:val="18"/>
          <w:szCs w:val="18"/>
        </w:rPr>
        <w:t xml:space="preserve">Bhasin v </w:t>
      </w:r>
      <w:proofErr w:type="spellStart"/>
      <w:r w:rsidRPr="00965A42">
        <w:rPr>
          <w:rFonts w:ascii="Times New Roman" w:hAnsi="Times New Roman" w:cs="Times New Roman"/>
          <w:i/>
          <w:iCs/>
          <w:sz w:val="18"/>
          <w:szCs w:val="18"/>
        </w:rPr>
        <w:t>Hrynew</w:t>
      </w:r>
      <w:proofErr w:type="spellEnd"/>
      <w:r w:rsidRPr="00965A42">
        <w:rPr>
          <w:rFonts w:ascii="Times New Roman" w:hAnsi="Times New Roman" w:cs="Times New Roman"/>
          <w:sz w:val="18"/>
          <w:szCs w:val="18"/>
        </w:rPr>
        <w:t xml:space="preserve"> that good faith was a general organizing principle.</w:t>
      </w:r>
    </w:p>
    <w:p w14:paraId="452AED9D" w14:textId="492F62F2"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Parliament passed England's first general statute limiting the right to recover possession of land in 1623, the Limitation Act 1623 (21 Jas. 1. c. 16). At common law, if entitlement to possession of land was in dispute originally only in what were known as real actions, the person claiming a right to possession was not allowed to allege that the land had come into their possession in the past in older terminology that he had been 'put into seisin' at a time before the reign of Henry I. The law </w:t>
      </w:r>
      <w:r w:rsidR="00965A42" w:rsidRPr="00965A42">
        <w:rPr>
          <w:rFonts w:ascii="Times New Roman" w:hAnsi="Times New Roman" w:cs="Times New Roman"/>
          <w:sz w:val="18"/>
          <w:szCs w:val="18"/>
        </w:rPr>
        <w:t>recognized</w:t>
      </w:r>
      <w:r w:rsidRPr="00965A42">
        <w:rPr>
          <w:rFonts w:ascii="Times New Roman" w:hAnsi="Times New Roman" w:cs="Times New Roman"/>
          <w:sz w:val="18"/>
          <w:szCs w:val="18"/>
        </w:rPr>
        <w:t xml:space="preserve"> a cutoff date going back into the past, before which date the law would not be </w:t>
      </w:r>
      <w:proofErr w:type="gramStart"/>
      <w:r w:rsidRPr="00965A42">
        <w:rPr>
          <w:rFonts w:ascii="Times New Roman" w:hAnsi="Times New Roman" w:cs="Times New Roman"/>
          <w:sz w:val="18"/>
          <w:szCs w:val="18"/>
        </w:rPr>
        <w:t>interested</w:t>
      </w:r>
      <w:proofErr w:type="gramEnd"/>
      <w:r w:rsidRPr="00965A42">
        <w:rPr>
          <w:rFonts w:ascii="Times New Roman" w:hAnsi="Times New Roman" w:cs="Times New Roman"/>
          <w:sz w:val="18"/>
          <w:szCs w:val="18"/>
        </w:rPr>
        <w:t xml:space="preserve">. There was no requirement for a defendant to show any form of adverse possession. As time went on, the date was moved by statute—first to the reign of Henry II, and then to the reign of Richard I. No further changes were made of this kind. By the reign of </w:t>
      </w:r>
      <w:proofErr w:type="gramStart"/>
      <w:r w:rsidRPr="00965A42">
        <w:rPr>
          <w:rFonts w:ascii="Times New Roman" w:hAnsi="Times New Roman" w:cs="Times New Roman"/>
          <w:sz w:val="18"/>
          <w:szCs w:val="18"/>
        </w:rPr>
        <w:t>Henry VIII</w:t>
      </w:r>
      <w:proofErr w:type="gramEnd"/>
      <w:r w:rsidRPr="00965A42">
        <w:rPr>
          <w:rFonts w:ascii="Times New Roman" w:hAnsi="Times New Roman" w:cs="Times New Roman"/>
          <w:sz w:val="18"/>
          <w:szCs w:val="18"/>
        </w:rPr>
        <w:t xml:space="preserve"> the fact that there had been no changes to the cutoff date had become very inconvenient. A new approach was taken whereby the person claiming possession had to show possession of the land for a continuous period, a certain number of years</w:t>
      </w:r>
      <w:r w:rsidR="00965A42">
        <w:rPr>
          <w:rFonts w:ascii="Times New Roman" w:hAnsi="Times New Roman" w:cs="Times New Roman"/>
          <w:sz w:val="18"/>
          <w:szCs w:val="18"/>
        </w:rPr>
        <w:t xml:space="preserve">, e.g., </w:t>
      </w:r>
      <w:r w:rsidRPr="00965A42">
        <w:rPr>
          <w:rFonts w:ascii="Times New Roman" w:hAnsi="Times New Roman" w:cs="Times New Roman"/>
          <w:sz w:val="18"/>
          <w:szCs w:val="18"/>
        </w:rPr>
        <w:t>60, 50 or 30 depending on the kind of claim made before the date of the claim. Later statutes have shortened the limitation period in most common law jurisdictions.</w:t>
      </w:r>
    </w:p>
    <w:p w14:paraId="019AD645" w14:textId="77777777" w:rsidR="00965A42" w:rsidRDefault="00DA2889" w:rsidP="00B771AC">
      <w:pPr>
        <w:jc w:val="both"/>
        <w:rPr>
          <w:rFonts w:ascii="Times New Roman" w:hAnsi="Times New Roman" w:cs="Times New Roman"/>
          <w:sz w:val="18"/>
          <w:szCs w:val="18"/>
        </w:rPr>
      </w:pPr>
      <w:r w:rsidRPr="00965A42">
        <w:rPr>
          <w:rFonts w:ascii="Times New Roman" w:hAnsi="Times New Roman" w:cs="Times New Roman"/>
          <w:b/>
          <w:bCs/>
          <w:sz w:val="18"/>
          <w:szCs w:val="18"/>
        </w:rPr>
        <w:t>At traditional English common law, it was not possible to obtain title to property of the Crown by means of adverse possession.</w:t>
      </w:r>
      <w:r w:rsidRPr="00965A42">
        <w:rPr>
          <w:rFonts w:ascii="Times New Roman" w:hAnsi="Times New Roman" w:cs="Times New Roman"/>
          <w:sz w:val="18"/>
          <w:szCs w:val="18"/>
        </w:rPr>
        <w:t xml:space="preserve"> </w:t>
      </w:r>
    </w:p>
    <w:p w14:paraId="186C7FF3" w14:textId="42D507D9" w:rsidR="00FB10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This principle was embodied by the Latin maxim </w:t>
      </w:r>
      <w:proofErr w:type="spellStart"/>
      <w:r w:rsidRPr="00965A42">
        <w:rPr>
          <w:rFonts w:ascii="Times New Roman" w:hAnsi="Times New Roman" w:cs="Times New Roman"/>
          <w:i/>
          <w:iCs/>
          <w:sz w:val="18"/>
          <w:szCs w:val="18"/>
        </w:rPr>
        <w:t>nullum</w:t>
      </w:r>
      <w:proofErr w:type="spellEnd"/>
      <w:r w:rsidRPr="00965A42">
        <w:rPr>
          <w:rFonts w:ascii="Times New Roman" w:hAnsi="Times New Roman" w:cs="Times New Roman"/>
          <w:i/>
          <w:iCs/>
          <w:sz w:val="18"/>
          <w:szCs w:val="18"/>
        </w:rPr>
        <w:t xml:space="preserve"> tempus </w:t>
      </w:r>
      <w:proofErr w:type="spellStart"/>
      <w:r w:rsidRPr="00965A42">
        <w:rPr>
          <w:rFonts w:ascii="Times New Roman" w:hAnsi="Times New Roman" w:cs="Times New Roman"/>
          <w:i/>
          <w:iCs/>
          <w:sz w:val="18"/>
          <w:szCs w:val="18"/>
        </w:rPr>
        <w:t>occurrit</w:t>
      </w:r>
      <w:proofErr w:type="spellEnd"/>
      <w:r w:rsidRPr="00965A42">
        <w:rPr>
          <w:rFonts w:ascii="Times New Roman" w:hAnsi="Times New Roman" w:cs="Times New Roman"/>
          <w:i/>
          <w:iCs/>
          <w:sz w:val="18"/>
          <w:szCs w:val="18"/>
        </w:rPr>
        <w:t xml:space="preserve"> </w:t>
      </w:r>
      <w:proofErr w:type="spellStart"/>
      <w:r w:rsidRPr="00965A42">
        <w:rPr>
          <w:rFonts w:ascii="Times New Roman" w:hAnsi="Times New Roman" w:cs="Times New Roman"/>
          <w:i/>
          <w:iCs/>
          <w:sz w:val="18"/>
          <w:szCs w:val="18"/>
        </w:rPr>
        <w:t>regi</w:t>
      </w:r>
      <w:proofErr w:type="spellEnd"/>
      <w:r w:rsidR="00FB1089" w:rsidRPr="00965A42">
        <w:rPr>
          <w:rFonts w:ascii="Times New Roman" w:hAnsi="Times New Roman" w:cs="Times New Roman"/>
          <w:sz w:val="18"/>
          <w:szCs w:val="18"/>
        </w:rPr>
        <w:t xml:space="preserve">, i.e., </w:t>
      </w:r>
      <w:r w:rsidRPr="00965A42">
        <w:rPr>
          <w:rFonts w:ascii="Times New Roman" w:hAnsi="Times New Roman" w:cs="Times New Roman"/>
          <w:sz w:val="18"/>
          <w:szCs w:val="18"/>
        </w:rPr>
        <w:t xml:space="preserve">'no time runs against the king'. In the United States, this privilege was carried over to the federal and state governments; government land is immune from loss by adverse possession. </w:t>
      </w:r>
    </w:p>
    <w:p w14:paraId="31DC2655" w14:textId="4BC4F20C" w:rsidR="00DA2889" w:rsidRPr="00965A42" w:rsidRDefault="00DA2889" w:rsidP="00FB1089">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Land with </w:t>
      </w:r>
      <w:r w:rsidRPr="00965A42">
        <w:rPr>
          <w:rFonts w:ascii="Times New Roman" w:hAnsi="Times New Roman" w:cs="Times New Roman"/>
          <w:b/>
          <w:bCs/>
          <w:i/>
          <w:iCs/>
          <w:sz w:val="18"/>
          <w:szCs w:val="18"/>
        </w:rPr>
        <w:t>registered title</w:t>
      </w:r>
      <w:r w:rsidRPr="00965A42">
        <w:rPr>
          <w:rFonts w:ascii="Times New Roman" w:hAnsi="Times New Roman" w:cs="Times New Roman"/>
          <w:sz w:val="18"/>
          <w:szCs w:val="18"/>
        </w:rPr>
        <w:t> in some Torrens title systems is also immune, for example, land that has been registered in the Hawaii Land Court system.</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In the common law system of England and its historical colonies, local legislatures—such as Parliament in England or American state legislatures—generally create statutes of limitations that bar the owners from recovering the property after a certain number of years have passed.</w:t>
      </w:r>
    </w:p>
    <w:p w14:paraId="65B748C5" w14:textId="77777777"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England and Wales</w:t>
      </w:r>
    </w:p>
    <w:p w14:paraId="7F39C447" w14:textId="007E647C"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Adverse possession is one of the most contentious methods of acquiring property, albeit one that has played a huge role in the history of English land. Historically, if someone possessed land for long enough, it was thought that this </w:t>
      </w:r>
      <w:proofErr w:type="gramStart"/>
      <w:r w:rsidRPr="00965A42">
        <w:rPr>
          <w:rFonts w:ascii="Times New Roman" w:hAnsi="Times New Roman" w:cs="Times New Roman"/>
          <w:sz w:val="18"/>
          <w:szCs w:val="18"/>
        </w:rPr>
        <w:t>in itself justified</w:t>
      </w:r>
      <w:proofErr w:type="gramEnd"/>
      <w:r w:rsidRPr="00965A42">
        <w:rPr>
          <w:rFonts w:ascii="Times New Roman" w:hAnsi="Times New Roman" w:cs="Times New Roman"/>
          <w:sz w:val="18"/>
          <w:szCs w:val="18"/>
        </w:rPr>
        <w:t xml:space="preserve"> acquisition of a good title. This meant that while English land was continually conquered, pillaged, and stolen by various factions, lords or barons throughout the Middle Ages, those who could show they possessed land long enough would not have their title questioned.</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A more modern function has been that land which is disused or neglected by an owner may be converted into another's property if continual use is made. Squatting in England has been a way for land to be efficiently </w:t>
      </w:r>
      <w:r w:rsidR="00FB1089" w:rsidRPr="00965A42">
        <w:rPr>
          <w:rFonts w:ascii="Times New Roman" w:hAnsi="Times New Roman" w:cs="Times New Roman"/>
          <w:sz w:val="18"/>
          <w:szCs w:val="18"/>
        </w:rPr>
        <w:t>utilized</w:t>
      </w:r>
      <w:r w:rsidRPr="00965A42">
        <w:rPr>
          <w:rFonts w:ascii="Times New Roman" w:hAnsi="Times New Roman" w:cs="Times New Roman"/>
          <w:sz w:val="18"/>
          <w:szCs w:val="18"/>
        </w:rPr>
        <w:t xml:space="preserve">, particularly in periods of economic decline. Before the Land Registration Act 2002, if a person had possessed land for 12 years, then at common law, the previous owner's right of action to eject the "adverse possessor" would expire. The common legal justification was that under the Limitation Act 1623 (21 Jas. 1. c. 16), just like a cause of action in contract or tort had to be used within a time limit, so did an action to recover land. This promoted the finality of litigation and the certainty of claims. Time would start running when someone took exclusive possession of land, or part of it, and intended to possess it adversely </w:t>
      </w:r>
      <w:proofErr w:type="gramStart"/>
      <w:r w:rsidRPr="00965A42">
        <w:rPr>
          <w:rFonts w:ascii="Times New Roman" w:hAnsi="Times New Roman" w:cs="Times New Roman"/>
          <w:sz w:val="18"/>
          <w:szCs w:val="18"/>
        </w:rPr>
        <w:t>to</w:t>
      </w:r>
      <w:proofErr w:type="gramEnd"/>
      <w:r w:rsidRPr="00965A42">
        <w:rPr>
          <w:rFonts w:ascii="Times New Roman" w:hAnsi="Times New Roman" w:cs="Times New Roman"/>
          <w:sz w:val="18"/>
          <w:szCs w:val="18"/>
        </w:rPr>
        <w:t xml:space="preserve"> the interests of the current owner. Provided the common law requirements of "possession" that </w:t>
      </w:r>
      <w:proofErr w:type="gramStart"/>
      <w:r w:rsidRPr="00965A42">
        <w:rPr>
          <w:rFonts w:ascii="Times New Roman" w:hAnsi="Times New Roman" w:cs="Times New Roman"/>
          <w:sz w:val="18"/>
          <w:szCs w:val="18"/>
        </w:rPr>
        <w:t>was</w:t>
      </w:r>
      <w:proofErr w:type="gramEnd"/>
      <w:r w:rsidRPr="00965A42">
        <w:rPr>
          <w:rFonts w:ascii="Times New Roman" w:hAnsi="Times New Roman" w:cs="Times New Roman"/>
          <w:sz w:val="18"/>
          <w:szCs w:val="18"/>
        </w:rPr>
        <w:t xml:space="preserve"> "adverse" were fulfilled, after 12 years, the owner would cease to be able to assert a claim. Different rules are in place for the limitation periods of adverse possession in unregistered land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and registered land. However, in </w:t>
      </w:r>
      <w:r w:rsidRPr="00965A42">
        <w:rPr>
          <w:rFonts w:ascii="Times New Roman" w:hAnsi="Times New Roman" w:cs="Times New Roman"/>
          <w:sz w:val="18"/>
          <w:szCs w:val="18"/>
        </w:rPr>
        <w:lastRenderedPageBreak/>
        <w:t>the Land Registration Act 2002 adverse possession of registered land became much harder.</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In recent times the Land Registry has made the process of claiming adverse possession and being awarded “title absolute” more difficult. Simply occupying or grazing the land will no longer justify the grant of title, instead the person in adverse possession must demonstrate commitment to own and utilize the land to the exclusion of all others.</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Another significant limit on the principle, in the case of leases, is that adverse possession actions will only succeed against the leaseholder, and not the freeholder once the lease has expired.</w:t>
      </w:r>
      <w:r w:rsidR="00B771AC" w:rsidRPr="00965A42">
        <w:rPr>
          <w:rFonts w:ascii="Times New Roman" w:hAnsi="Times New Roman" w:cs="Times New Roman"/>
          <w:sz w:val="18"/>
          <w:szCs w:val="18"/>
        </w:rPr>
        <w:t xml:space="preserve"> </w:t>
      </w:r>
    </w:p>
    <w:p w14:paraId="662BD765" w14:textId="77777777" w:rsidR="00DA2889" w:rsidRPr="00965A42" w:rsidRDefault="00DA2889" w:rsidP="00B02443">
      <w:pPr>
        <w:jc w:val="center"/>
        <w:rPr>
          <w:rFonts w:ascii="Times New Roman" w:hAnsi="Times New Roman" w:cs="Times New Roman"/>
          <w:b/>
          <w:bCs/>
          <w:sz w:val="18"/>
          <w:szCs w:val="18"/>
        </w:rPr>
      </w:pPr>
      <w:r w:rsidRPr="00965A42">
        <w:rPr>
          <w:rFonts w:ascii="Times New Roman" w:hAnsi="Times New Roman" w:cs="Times New Roman"/>
          <w:b/>
          <w:bCs/>
          <w:sz w:val="18"/>
          <w:szCs w:val="18"/>
        </w:rPr>
        <w:t>Land Registration Act 2002</w:t>
      </w:r>
    </w:p>
    <w:p w14:paraId="1CC8F7D6" w14:textId="69D40BA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The Land Registration Act 2002 received royal assent on 26 February 2002. The rules for unregistered land </w:t>
      </w:r>
      <w:proofErr w:type="gramStart"/>
      <w:r w:rsidRPr="00965A42">
        <w:rPr>
          <w:rFonts w:ascii="Times New Roman" w:hAnsi="Times New Roman" w:cs="Times New Roman"/>
          <w:sz w:val="18"/>
          <w:szCs w:val="18"/>
        </w:rPr>
        <w:t>remained</w:t>
      </w:r>
      <w:proofErr w:type="gramEnd"/>
      <w:r w:rsidRPr="00965A42">
        <w:rPr>
          <w:rFonts w:ascii="Times New Roman" w:hAnsi="Times New Roman" w:cs="Times New Roman"/>
          <w:sz w:val="18"/>
          <w:szCs w:val="18"/>
        </w:rPr>
        <w:t xml:space="preserve"> as before. But under schedule 6 of the Land Registration Act 2002, paragraphs 1 to 5, after 10 years the adverse possessor is entitled to apply to the registrar to become the new registered owner. The registrar then contacts the registered title holder and notifies him of the application. If no proceedings are launched for two years to eject the adverse possessor, only then would the registrar transfer title. Prior to the Land Registration Act 2002, a </w:t>
      </w:r>
      <w:proofErr w:type="gramStart"/>
      <w:r w:rsidRPr="00965A42">
        <w:rPr>
          <w:rFonts w:ascii="Times New Roman" w:hAnsi="Times New Roman" w:cs="Times New Roman"/>
          <w:sz w:val="18"/>
          <w:szCs w:val="18"/>
        </w:rPr>
        <w:t>land owner</w:t>
      </w:r>
      <w:proofErr w:type="gramEnd"/>
      <w:r w:rsidRPr="00965A42">
        <w:rPr>
          <w:rFonts w:ascii="Times New Roman" w:hAnsi="Times New Roman" w:cs="Times New Roman"/>
          <w:sz w:val="18"/>
          <w:szCs w:val="18"/>
        </w:rPr>
        <w:t xml:space="preserve"> could simply lose title without being aware of it or notified. This was the rule because it indicated the owner had never paid sufficient attention to how the land was in fact being used, and therefore the former owner did not deserve to keep it. Before 2002, time was seen to cure everything. The rule's function was to ensure land was used efficiently.</w:t>
      </w:r>
      <w:r w:rsidR="00B771AC" w:rsidRPr="00965A42">
        <w:rPr>
          <w:rFonts w:ascii="Times New Roman" w:hAnsi="Times New Roman" w:cs="Times New Roman"/>
          <w:sz w:val="18"/>
          <w:szCs w:val="18"/>
        </w:rPr>
        <w:t xml:space="preserve"> </w:t>
      </w:r>
    </w:p>
    <w:p w14:paraId="64D893D9" w14:textId="77777777" w:rsidR="00DA2889" w:rsidRPr="00965A42" w:rsidRDefault="00DA2889" w:rsidP="00B02443">
      <w:pPr>
        <w:jc w:val="center"/>
        <w:rPr>
          <w:rFonts w:ascii="Times New Roman" w:hAnsi="Times New Roman" w:cs="Times New Roman"/>
          <w:sz w:val="18"/>
          <w:szCs w:val="18"/>
        </w:rPr>
      </w:pPr>
      <w:r w:rsidRPr="00965A42">
        <w:rPr>
          <w:rFonts w:ascii="Times New Roman" w:hAnsi="Times New Roman" w:cs="Times New Roman"/>
          <w:b/>
          <w:bCs/>
          <w:sz w:val="18"/>
          <w:szCs w:val="18"/>
        </w:rPr>
        <w:t>Requirements</w:t>
      </w:r>
    </w:p>
    <w:p w14:paraId="63ACD421" w14:textId="4B8980F2"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Before the considerable hurdle of giving a registered </w:t>
      </w:r>
      <w:proofErr w:type="gramStart"/>
      <w:r w:rsidRPr="00965A42">
        <w:rPr>
          <w:rFonts w:ascii="Times New Roman" w:hAnsi="Times New Roman" w:cs="Times New Roman"/>
          <w:sz w:val="18"/>
          <w:szCs w:val="18"/>
        </w:rPr>
        <w:t>owner</w:t>
      </w:r>
      <w:proofErr w:type="gramEnd"/>
      <w:r w:rsidRPr="00965A42">
        <w:rPr>
          <w:rFonts w:ascii="Times New Roman" w:hAnsi="Times New Roman" w:cs="Times New Roman"/>
          <w:sz w:val="18"/>
          <w:szCs w:val="18"/>
        </w:rPr>
        <w:t xml:space="preserve"> notice was introduced in the Land Registration Act 2002, the </w:t>
      </w:r>
      <w:proofErr w:type="gramStart"/>
      <w:r w:rsidRPr="00965A42">
        <w:rPr>
          <w:rFonts w:ascii="Times New Roman" w:hAnsi="Times New Roman" w:cs="Times New Roman"/>
          <w:sz w:val="18"/>
          <w:szCs w:val="18"/>
        </w:rPr>
        <w:t>particular requirements</w:t>
      </w:r>
      <w:proofErr w:type="gramEnd"/>
      <w:r w:rsidRPr="00965A42">
        <w:rPr>
          <w:rFonts w:ascii="Times New Roman" w:hAnsi="Times New Roman" w:cs="Times New Roman"/>
          <w:sz w:val="18"/>
          <w:szCs w:val="18"/>
        </w:rPr>
        <w:t xml:space="preserve"> of adverse possession were reasonably straight forward.</w:t>
      </w:r>
    </w:p>
    <w:p w14:paraId="7852F031" w14:textId="5795C7F6"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First, under schedule 1, paragraphs 1 and 8 of the Limitation Act 1980, the time when adverse possession began was when "possession" was taken. This had to be more than something temporary or transitory, such as simply storing goods on a land for a brief period.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But "possession" did not require actual occupation. </w:t>
      </w:r>
      <w:proofErr w:type="gramStart"/>
      <w:r w:rsidRPr="00965A42">
        <w:rPr>
          <w:rFonts w:ascii="Times New Roman" w:hAnsi="Times New Roman" w:cs="Times New Roman"/>
          <w:sz w:val="18"/>
          <w:szCs w:val="18"/>
        </w:rPr>
        <w:t>So</w:t>
      </w:r>
      <w:proofErr w:type="gramEnd"/>
      <w:r w:rsidRPr="00965A42">
        <w:rPr>
          <w:rFonts w:ascii="Times New Roman" w:hAnsi="Times New Roman" w:cs="Times New Roman"/>
          <w:sz w:val="18"/>
          <w:szCs w:val="18"/>
        </w:rPr>
        <w:t xml:space="preserve"> in </w:t>
      </w:r>
      <w:r w:rsidRPr="00965A42">
        <w:rPr>
          <w:rFonts w:ascii="Times New Roman" w:hAnsi="Times New Roman" w:cs="Times New Roman"/>
          <w:i/>
          <w:iCs/>
          <w:sz w:val="18"/>
          <w:szCs w:val="18"/>
        </w:rPr>
        <w:t>Powell v McFarlane</w:t>
      </w:r>
      <w:r w:rsidRPr="00965A42">
        <w:rPr>
          <w:rFonts w:ascii="Times New Roman" w:hAnsi="Times New Roman" w:cs="Times New Roman"/>
          <w:sz w:val="18"/>
          <w:szCs w:val="18"/>
        </w:rPr>
        <w:t xml:space="preserve">, it was held to be "possession" when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Powell, from age 14, let his cows roam into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McFarlane's land. The intruder must also show that they were dealing with the land as an occupying owner might have done, and that no one else had done so.</w:t>
      </w:r>
    </w:p>
    <w:p w14:paraId="739E262D" w14:textId="77777777" w:rsidR="00534458" w:rsidRPr="00965A42" w:rsidRDefault="00534458" w:rsidP="00534458">
      <w:pPr>
        <w:pStyle w:val="ListParagraph"/>
        <w:jc w:val="both"/>
        <w:rPr>
          <w:rFonts w:ascii="Times New Roman" w:hAnsi="Times New Roman" w:cs="Times New Roman"/>
          <w:sz w:val="8"/>
          <w:szCs w:val="8"/>
        </w:rPr>
      </w:pPr>
    </w:p>
    <w:p w14:paraId="20D591D2" w14:textId="332DCAC0"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 xml:space="preserve">The second requirement, however, was that there needed to be an intention to possess the land.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Powell lost his claim because simply letting his cows roam was an equivocal act: it was only later that there was evidence he intended to take possession, for instance by erecting signs on the land and parking a lorry. But this had not happened long enough for the 12-year time limit on McFarlane's claim to have expired. As a result, proving intention to possess is likely to rely heavily on the factual matrix of the case and the squatters' factual possession. In </w:t>
      </w:r>
      <w:r w:rsidRPr="00965A42">
        <w:rPr>
          <w:rFonts w:ascii="Times New Roman" w:hAnsi="Times New Roman" w:cs="Times New Roman"/>
          <w:i/>
          <w:iCs/>
          <w:sz w:val="18"/>
          <w:szCs w:val="18"/>
        </w:rPr>
        <w:t>Clowes Developments (UK) Ltd v Walters and Others [2005] EWHC (Ch)</w:t>
      </w:r>
      <w:r w:rsidRPr="00965A42">
        <w:rPr>
          <w:rFonts w:ascii="Times New Roman" w:hAnsi="Times New Roman" w:cs="Times New Roman"/>
          <w:sz w:val="18"/>
          <w:szCs w:val="18"/>
        </w:rPr>
        <w:t>, the squatter cannot be found to have an intention to possess if they mistakenly believe that they are on the property with the permission of the title owner.</w:t>
      </w:r>
      <w:r w:rsidR="00B771AC" w:rsidRPr="00965A42">
        <w:rPr>
          <w:rFonts w:ascii="Times New Roman" w:hAnsi="Times New Roman" w:cs="Times New Roman"/>
          <w:sz w:val="18"/>
          <w:szCs w:val="18"/>
        </w:rPr>
        <w:t xml:space="preserve"> </w:t>
      </w:r>
    </w:p>
    <w:p w14:paraId="11437DFC" w14:textId="77777777" w:rsidR="00534458" w:rsidRPr="00965A42" w:rsidRDefault="00534458" w:rsidP="00534458">
      <w:pPr>
        <w:pStyle w:val="ListParagraph"/>
        <w:rPr>
          <w:rFonts w:ascii="Times New Roman" w:hAnsi="Times New Roman" w:cs="Times New Roman"/>
          <w:sz w:val="8"/>
          <w:szCs w:val="8"/>
        </w:rPr>
      </w:pPr>
    </w:p>
    <w:p w14:paraId="3C47EF3E" w14:textId="55F83D4F"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Third, possession is not considered "adverse" if the person is there with the owner's consent. For example, in </w:t>
      </w:r>
      <w:r w:rsidRPr="00965A42">
        <w:rPr>
          <w:rFonts w:ascii="Times New Roman" w:hAnsi="Times New Roman" w:cs="Times New Roman"/>
          <w:i/>
          <w:iCs/>
          <w:sz w:val="18"/>
          <w:szCs w:val="18"/>
        </w:rPr>
        <w:t>BP Properties Ltd v Buckler</w:t>
      </w:r>
      <w:r w:rsidRPr="00965A42">
        <w:rPr>
          <w:rFonts w:ascii="Times New Roman" w:hAnsi="Times New Roman" w:cs="Times New Roman"/>
          <w:sz w:val="18"/>
          <w:szCs w:val="18"/>
        </w:rPr>
        <w:t xml:space="preserve">, Dillon LJ held that </w:t>
      </w:r>
      <w:proofErr w:type="spellStart"/>
      <w:r w:rsidRPr="00965A42">
        <w:rPr>
          <w:rFonts w:ascii="Times New Roman" w:hAnsi="Times New Roman" w:cs="Times New Roman"/>
          <w:sz w:val="18"/>
          <w:szCs w:val="18"/>
        </w:rPr>
        <w:t>Mrs</w:t>
      </w:r>
      <w:proofErr w:type="spellEnd"/>
      <w:r w:rsidRPr="00965A42">
        <w:rPr>
          <w:rFonts w:ascii="Times New Roman" w:hAnsi="Times New Roman" w:cs="Times New Roman"/>
          <w:sz w:val="18"/>
          <w:szCs w:val="18"/>
        </w:rPr>
        <w:t xml:space="preserve"> Buckler could not claim adverse possession over land owned by BP because BP had told her she could stay rent free for life. Fourth, under the Limitation Act 1980 sections 29 and 30, the adverse possessor must not have acknowledged the title of the owner in any express way, or the clock starts running again. However, the courts have interpreted this requirement flexibly.</w:t>
      </w:r>
    </w:p>
    <w:p w14:paraId="2EB20214" w14:textId="39F3CC95"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Human rights challenges</w:t>
      </w:r>
    </w:p>
    <w:p w14:paraId="7E0689F6" w14:textId="1ECE705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w:t>
      </w:r>
      <w:r w:rsidRPr="00965A42">
        <w:rPr>
          <w:rFonts w:ascii="Times New Roman" w:hAnsi="Times New Roman" w:cs="Times New Roman"/>
          <w:i/>
          <w:iCs/>
          <w:sz w:val="18"/>
          <w:szCs w:val="18"/>
        </w:rPr>
        <w:t>JA Pye (Oxford) Ltd v Graham</w:t>
      </w:r>
      <w:r w:rsidRPr="00965A42">
        <w:rPr>
          <w:rFonts w:ascii="Times New Roman" w:hAnsi="Times New Roman" w:cs="Times New Roman"/>
          <w:sz w:val="18"/>
          <w:szCs w:val="18"/>
        </w:rPr>
        <w:t xml:space="preserve">,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and </w:t>
      </w:r>
      <w:proofErr w:type="spellStart"/>
      <w:r w:rsidRPr="00965A42">
        <w:rPr>
          <w:rFonts w:ascii="Times New Roman" w:hAnsi="Times New Roman" w:cs="Times New Roman"/>
          <w:sz w:val="18"/>
          <w:szCs w:val="18"/>
        </w:rPr>
        <w:t>Mrs</w:t>
      </w:r>
      <w:proofErr w:type="spellEnd"/>
      <w:r w:rsidRPr="00965A42">
        <w:rPr>
          <w:rFonts w:ascii="Times New Roman" w:hAnsi="Times New Roman" w:cs="Times New Roman"/>
          <w:sz w:val="18"/>
          <w:szCs w:val="18"/>
        </w:rPr>
        <w:t xml:space="preserve"> Graham had been let a part of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Pye's land, and then the lease had expired.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refused to renew </w:t>
      </w:r>
      <w:proofErr w:type="gramStart"/>
      <w:r w:rsidRPr="00965A42">
        <w:rPr>
          <w:rFonts w:ascii="Times New Roman" w:hAnsi="Times New Roman" w:cs="Times New Roman"/>
          <w:sz w:val="18"/>
          <w:szCs w:val="18"/>
        </w:rPr>
        <w:t>a lease</w:t>
      </w:r>
      <w:proofErr w:type="gramEnd"/>
      <w:r w:rsidRPr="00965A42">
        <w:rPr>
          <w:rFonts w:ascii="Times New Roman" w:hAnsi="Times New Roman" w:cs="Times New Roman"/>
          <w:sz w:val="18"/>
          <w:szCs w:val="18"/>
        </w:rPr>
        <w:t xml:space="preserve">, on the basis that this might disturb getting planning permission. In </w:t>
      </w:r>
      <w:proofErr w:type="gramStart"/>
      <w:r w:rsidRPr="00965A42">
        <w:rPr>
          <w:rFonts w:ascii="Times New Roman" w:hAnsi="Times New Roman" w:cs="Times New Roman"/>
          <w:sz w:val="18"/>
          <w:szCs w:val="18"/>
        </w:rPr>
        <w:t>fact</w:t>
      </w:r>
      <w:proofErr w:type="gramEnd"/>
      <w:r w:rsidRPr="00965A42">
        <w:rPr>
          <w:rFonts w:ascii="Times New Roman" w:hAnsi="Times New Roman" w:cs="Times New Roman"/>
          <w:sz w:val="18"/>
          <w:szCs w:val="18"/>
        </w:rPr>
        <w:t xml:space="preserve"> the land remained unused,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did nothing, while the Grahams continued to retain a key to the property and used it as part of their farm. At the end of the limitation period, they claimed the land was theirs. They had in fact offered to buy a </w:t>
      </w:r>
      <w:proofErr w:type="spellStart"/>
      <w:r w:rsidRPr="00965A42">
        <w:rPr>
          <w:rFonts w:ascii="Times New Roman" w:hAnsi="Times New Roman" w:cs="Times New Roman"/>
          <w:sz w:val="18"/>
          <w:szCs w:val="18"/>
        </w:rPr>
        <w:t>licence</w:t>
      </w:r>
      <w:proofErr w:type="spellEnd"/>
      <w:r w:rsidRPr="00965A42">
        <w:rPr>
          <w:rFonts w:ascii="Times New Roman" w:hAnsi="Times New Roman" w:cs="Times New Roman"/>
          <w:sz w:val="18"/>
          <w:szCs w:val="18"/>
        </w:rPr>
        <w:t xml:space="preserve"> from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but the House of Lords held that this did not amount to an acknowledgement of title that would deprive them of a claim. Having lost in the UK courts,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took the case to the European Court of Human Rights, arguing that his business should receive £10 million in compensation because it was a breach of his right to "peaceful enjoyment of possessions" under Protocol 1, article 1 of the European Convention on Human Rights. The court in its Grand Chamber rejected this, holding that it was within a national government's margin of appreciation to determine the relevant property rules. The House of Lords in </w:t>
      </w:r>
      <w:proofErr w:type="spellStart"/>
      <w:r w:rsidRPr="00965A42">
        <w:rPr>
          <w:rFonts w:ascii="Times New Roman" w:hAnsi="Times New Roman" w:cs="Times New Roman"/>
          <w:i/>
          <w:iCs/>
          <w:sz w:val="18"/>
          <w:szCs w:val="18"/>
        </w:rPr>
        <w:t>Ofulue</w:t>
      </w:r>
      <w:proofErr w:type="spellEnd"/>
      <w:r w:rsidRPr="00965A42">
        <w:rPr>
          <w:rFonts w:ascii="Times New Roman" w:hAnsi="Times New Roman" w:cs="Times New Roman"/>
          <w:i/>
          <w:iCs/>
          <w:sz w:val="18"/>
          <w:szCs w:val="18"/>
        </w:rPr>
        <w:t xml:space="preserve"> v Bossert</w:t>
      </w:r>
      <w:r w:rsidRPr="00965A42">
        <w:rPr>
          <w:rFonts w:ascii="Times New Roman" w:hAnsi="Times New Roman" w:cs="Times New Roman"/>
          <w:sz w:val="18"/>
          <w:szCs w:val="18"/>
        </w:rPr>
        <w:t> in 2009 confirmed this understanding.</w:t>
      </w:r>
      <w:r w:rsidR="00B771AC" w:rsidRPr="00965A42">
        <w:rPr>
          <w:rFonts w:ascii="Times New Roman" w:hAnsi="Times New Roman" w:cs="Times New Roman"/>
          <w:sz w:val="18"/>
          <w:szCs w:val="18"/>
        </w:rPr>
        <w:t xml:space="preserve"> </w:t>
      </w:r>
    </w:p>
    <w:p w14:paraId="5BE79442"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Timing</w:t>
      </w:r>
    </w:p>
    <w:p w14:paraId="601DFA63" w14:textId="2285DAD9"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lastRenderedPageBreak/>
        <w:t>For registered land, adverse possession claims completed before 13 October 2003 (the date the Land Registration Act 2002 came into force) are governed by section 75(1) and 75(2) of the Land Registration Act 1925. The limitation period remains the same (12 years) but instead of the original owner's title to the land being extinguished, the original owner holds the land on trust for the adverse possessor. The adverse possessor can then apply to be the new registered proprietor of the land.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For registered land, adverse possession claims completed after 13 October 2003 follow a different procedure. Where land is registered, the adverse possessor may henceforth apply to be registered as owner after 10 years of adverse possession and the Land Registry must give notice to the true owner of this application. This gives the landowner a statutory </w:t>
      </w:r>
      <w:proofErr w:type="gramStart"/>
      <w:r w:rsidRPr="00965A42">
        <w:rPr>
          <w:rFonts w:ascii="Times New Roman" w:hAnsi="Times New Roman" w:cs="Times New Roman"/>
          <w:sz w:val="18"/>
          <w:szCs w:val="18"/>
        </w:rPr>
        <w:t>period of time</w:t>
      </w:r>
      <w:proofErr w:type="gramEnd"/>
      <w:r w:rsidRPr="00965A42">
        <w:rPr>
          <w:rFonts w:ascii="Times New Roman" w:hAnsi="Times New Roman" w:cs="Times New Roman"/>
          <w:sz w:val="18"/>
          <w:szCs w:val="18"/>
        </w:rPr>
        <w:t xml:space="preserve"> (65 business days) to object to the adverse possession, object to the application on the </w:t>
      </w:r>
      <w:proofErr w:type="gramStart"/>
      <w:r w:rsidRPr="00965A42">
        <w:rPr>
          <w:rFonts w:ascii="Times New Roman" w:hAnsi="Times New Roman" w:cs="Times New Roman"/>
          <w:sz w:val="18"/>
          <w:szCs w:val="18"/>
        </w:rPr>
        <w:t>ground</w:t>
      </w:r>
      <w:proofErr w:type="gramEnd"/>
      <w:r w:rsidRPr="00965A42">
        <w:rPr>
          <w:rFonts w:ascii="Times New Roman" w:hAnsi="Times New Roman" w:cs="Times New Roman"/>
          <w:sz w:val="18"/>
          <w:szCs w:val="18"/>
        </w:rPr>
        <w:t xml:space="preserve"> that there has not actually been the necessary 10 years' adverse possession, and/or to serve a "</w:t>
      </w:r>
      <w:proofErr w:type="gramStart"/>
      <w:r w:rsidRPr="00965A42">
        <w:rPr>
          <w:rFonts w:ascii="Times New Roman" w:hAnsi="Times New Roman" w:cs="Times New Roman"/>
          <w:b/>
          <w:bCs/>
          <w:i/>
          <w:iCs/>
          <w:sz w:val="18"/>
          <w:szCs w:val="18"/>
        </w:rPr>
        <w:t>counter-notice</w:t>
      </w:r>
      <w:proofErr w:type="gramEnd"/>
      <w:r w:rsidRPr="00965A42">
        <w:rPr>
          <w:rFonts w:ascii="Times New Roman" w:hAnsi="Times New Roman" w:cs="Times New Roman"/>
          <w:sz w:val="18"/>
          <w:szCs w:val="18"/>
        </w:rPr>
        <w:t xml:space="preserve">". If a </w:t>
      </w:r>
      <w:proofErr w:type="gramStart"/>
      <w:r w:rsidRPr="00965A42">
        <w:rPr>
          <w:rFonts w:ascii="Times New Roman" w:hAnsi="Times New Roman" w:cs="Times New Roman"/>
          <w:sz w:val="18"/>
          <w:szCs w:val="18"/>
        </w:rPr>
        <w:t>counter-notice</w:t>
      </w:r>
      <w:proofErr w:type="gramEnd"/>
      <w:r w:rsidRPr="00965A42">
        <w:rPr>
          <w:rFonts w:ascii="Times New Roman" w:hAnsi="Times New Roman" w:cs="Times New Roman"/>
          <w:sz w:val="18"/>
          <w:szCs w:val="18"/>
        </w:rPr>
        <w:t xml:space="preserve"> is served, then the application fails unless</w:t>
      </w:r>
      <w:r w:rsidR="00965A42">
        <w:rPr>
          <w:rFonts w:ascii="Times New Roman" w:hAnsi="Times New Roman" w:cs="Times New Roman"/>
          <w:sz w:val="18"/>
          <w:szCs w:val="18"/>
        </w:rPr>
        <w:t>:</w:t>
      </w:r>
    </w:p>
    <w:p w14:paraId="791BA1B8" w14:textId="71A1BC3E"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 xml:space="preserve">It </w:t>
      </w:r>
      <w:r w:rsidR="00DA2889" w:rsidRPr="00965A42">
        <w:rPr>
          <w:rFonts w:ascii="Times New Roman" w:hAnsi="Times New Roman" w:cs="Times New Roman"/>
          <w:sz w:val="18"/>
          <w:szCs w:val="18"/>
        </w:rPr>
        <w:t>would be unconscionable because of an equity by estoppel for the registered proprietor to seek to dispossess the squatter and the squatter ought in the circumstances to be registered as proprietor, or</w:t>
      </w:r>
    </w:p>
    <w:p w14:paraId="3418166A" w14:textId="2096C254"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T</w:t>
      </w:r>
      <w:r w:rsidR="00DA2889" w:rsidRPr="00965A42">
        <w:rPr>
          <w:rFonts w:ascii="Times New Roman" w:hAnsi="Times New Roman" w:cs="Times New Roman"/>
          <w:sz w:val="18"/>
          <w:szCs w:val="18"/>
        </w:rPr>
        <w:t>he squatter is for some other reason entitled to be registered as proprietor, or</w:t>
      </w:r>
    </w:p>
    <w:p w14:paraId="1B20C30B" w14:textId="583ABD24"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T</w:t>
      </w:r>
      <w:r w:rsidR="00DA2889" w:rsidRPr="00965A42">
        <w:rPr>
          <w:rFonts w:ascii="Times New Roman" w:hAnsi="Times New Roman" w:cs="Times New Roman"/>
          <w:sz w:val="18"/>
          <w:szCs w:val="18"/>
        </w:rPr>
        <w:t>he squatter has been in adverse possession of land adjacent to their own under the mistaken but reasonable belief that they are the owner of it, the exact line of the boundary with this adjacent land has not been determined and the estate to which the application relates was registered more than a year prior to the date of the application.</w:t>
      </w:r>
    </w:p>
    <w:p w14:paraId="3155BEDC" w14:textId="257FC10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Otherwise, the squatter becomes the registered proprietor according to the land registry. If the true owner is unable to evict the squatter in the two years following the first [unsuccessful] application, the squatter can apply again after this period and be successful despite the opposition of the owner. The process effectively prevents the removal of a landowner's right to property without their knowledge, while ensuring squatters have a fair way of exercising their rights.</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Where a tenant adversely possesses land, there is a presumption that they are doing so in a way that will benefit the landlord at the end of their term. If the land does not belong to their landlord, the land will become part of both the tenancy and the reversion. If the land does belong to their landlord, </w:t>
      </w:r>
      <w:proofErr w:type="gramStart"/>
      <w:r w:rsidRPr="00965A42">
        <w:rPr>
          <w:rFonts w:ascii="Times New Roman" w:hAnsi="Times New Roman" w:cs="Times New Roman"/>
          <w:sz w:val="18"/>
          <w:szCs w:val="18"/>
        </w:rPr>
        <w:t>it would seem that it</w:t>
      </w:r>
      <w:proofErr w:type="gramEnd"/>
      <w:r w:rsidRPr="00965A42">
        <w:rPr>
          <w:rFonts w:ascii="Times New Roman" w:hAnsi="Times New Roman" w:cs="Times New Roman"/>
          <w:sz w:val="18"/>
          <w:szCs w:val="18"/>
        </w:rPr>
        <w:t xml:space="preserve"> will be gained by the tenant but only for the period of their term.</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Since September 2012, squatting in a residential building </w:t>
      </w:r>
      <w:proofErr w:type="gramStart"/>
      <w:r w:rsidRPr="00965A42">
        <w:rPr>
          <w:rFonts w:ascii="Times New Roman" w:hAnsi="Times New Roman" w:cs="Times New Roman"/>
          <w:sz w:val="18"/>
          <w:szCs w:val="18"/>
        </w:rPr>
        <w:t>is</w:t>
      </w:r>
      <w:proofErr w:type="gramEnd"/>
      <w:r w:rsidRPr="00965A42">
        <w:rPr>
          <w:rFonts w:ascii="Times New Roman" w:hAnsi="Times New Roman" w:cs="Times New Roman"/>
          <w:sz w:val="18"/>
          <w:szCs w:val="18"/>
        </w:rPr>
        <w:t xml:space="preserve"> a criminal offence, but this does not prevent title being claimed by reason of adverse possession even if the claimant is committing a criminal offence. This was confirmed in </w:t>
      </w:r>
      <w:proofErr w:type="gramStart"/>
      <w:r w:rsidRPr="00965A42">
        <w:rPr>
          <w:rFonts w:ascii="Times New Roman" w:hAnsi="Times New Roman" w:cs="Times New Roman"/>
          <w:i/>
          <w:iCs/>
          <w:sz w:val="18"/>
          <w:szCs w:val="18"/>
        </w:rPr>
        <w:t>Best</w:t>
      </w:r>
      <w:proofErr w:type="gramEnd"/>
      <w:r w:rsidRPr="00965A42">
        <w:rPr>
          <w:rFonts w:ascii="Times New Roman" w:hAnsi="Times New Roman" w:cs="Times New Roman"/>
          <w:i/>
          <w:iCs/>
          <w:sz w:val="18"/>
          <w:szCs w:val="18"/>
        </w:rPr>
        <w:t xml:space="preserve"> v Chief Land Registrar</w:t>
      </w:r>
      <w:r w:rsidRPr="00965A42">
        <w:rPr>
          <w:rFonts w:ascii="Times New Roman" w:hAnsi="Times New Roman" w:cs="Times New Roman"/>
          <w:sz w:val="18"/>
          <w:szCs w:val="18"/>
        </w:rPr>
        <w:t>, where it was held that criminal and land law should be kept separate.</w:t>
      </w:r>
    </w:p>
    <w:p w14:paraId="4187D729" w14:textId="07F1812E"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United States</w:t>
      </w:r>
      <w:r w:rsidR="00965A42">
        <w:rPr>
          <w:rFonts w:ascii="Times New Roman" w:hAnsi="Times New Roman" w:cs="Times New Roman"/>
          <w:b/>
          <w:bCs/>
          <w:sz w:val="18"/>
          <w:szCs w:val="18"/>
        </w:rPr>
        <w:t xml:space="preserve"> </w:t>
      </w:r>
      <w:proofErr w:type="spellStart"/>
      <w:r w:rsidR="00965A42" w:rsidRPr="00965A42">
        <w:rPr>
          <w:rFonts w:ascii="Times New Roman" w:hAnsi="Times New Roman" w:cs="Times New Roman"/>
          <w:b/>
          <w:bCs/>
          <w:sz w:val="18"/>
          <w:szCs w:val="18"/>
        </w:rPr>
        <w:t>disseisors</w:t>
      </w:r>
      <w:proofErr w:type="spellEnd"/>
    </w:p>
    <w:p w14:paraId="1356268D" w14:textId="77777777" w:rsidR="00DA2889" w:rsidRPr="00965A42" w:rsidRDefault="00DA2889" w:rsidP="00534458">
      <w:pPr>
        <w:rPr>
          <w:rFonts w:ascii="Times New Roman" w:hAnsi="Times New Roman" w:cs="Times New Roman"/>
          <w:sz w:val="18"/>
          <w:szCs w:val="18"/>
        </w:rPr>
      </w:pPr>
      <w:r w:rsidRPr="00965A42">
        <w:rPr>
          <w:rFonts w:ascii="Times New Roman" w:hAnsi="Times New Roman" w:cs="Times New Roman"/>
          <w:b/>
          <w:bCs/>
          <w:sz w:val="18"/>
          <w:szCs w:val="18"/>
        </w:rPr>
        <w:t>Requirements</w:t>
      </w:r>
    </w:p>
    <w:p w14:paraId="6B119CDA" w14:textId="187D6BEB"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The party seeking title by adverse possession may be called the </w:t>
      </w:r>
      <w:proofErr w:type="spellStart"/>
      <w:r w:rsidRPr="00965A42">
        <w:rPr>
          <w:rFonts w:ascii="Times New Roman" w:hAnsi="Times New Roman" w:cs="Times New Roman"/>
          <w:i/>
          <w:iCs/>
          <w:sz w:val="18"/>
          <w:szCs w:val="18"/>
        </w:rPr>
        <w:t>disseisor</w:t>
      </w:r>
      <w:proofErr w:type="spellEnd"/>
      <w:r w:rsidRPr="00965A42">
        <w:rPr>
          <w:rFonts w:ascii="Times New Roman" w:hAnsi="Times New Roman" w:cs="Times New Roman"/>
          <w:sz w:val="18"/>
          <w:szCs w:val="18"/>
        </w:rPr>
        <w:t xml:space="preserve">, meaning one who dispossesses the true owner of the property. Although the elements of an adverse possession claim may be different in </w:t>
      </w:r>
      <w:proofErr w:type="gramStart"/>
      <w:r w:rsidRPr="00965A42">
        <w:rPr>
          <w:rFonts w:ascii="Times New Roman" w:hAnsi="Times New Roman" w:cs="Times New Roman"/>
          <w:sz w:val="18"/>
          <w:szCs w:val="18"/>
        </w:rPr>
        <w:t>a number of</w:t>
      </w:r>
      <w:proofErr w:type="gramEnd"/>
      <w:r w:rsidRPr="00965A42">
        <w:rPr>
          <w:rFonts w:ascii="Times New Roman" w:hAnsi="Times New Roman" w:cs="Times New Roman"/>
          <w:sz w:val="18"/>
          <w:szCs w:val="18"/>
        </w:rPr>
        <w:t xml:space="preserve"> states, adverse possession requires at a minimum five basic conditions being met to perfect the title of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These are that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must openly occupy the property exclusively, in a manner that is open and notorious, continuously, and use it as if it were their own in a manner expected for the type of property. Some states impose additional requirements. Many of the states have enacted statutes regulating the rules of adverse possession. Some states require a hostility requirement to secure adverse possession. While most states take an objective approach to the hostility requirement, some states require a showing of good faith. Good faith means that claimants must demonstrate that they had some basis to believe that they </w:t>
      </w:r>
      <w:proofErr w:type="gramStart"/>
      <w:r w:rsidRPr="00965A42">
        <w:rPr>
          <w:rFonts w:ascii="Times New Roman" w:hAnsi="Times New Roman" w:cs="Times New Roman"/>
          <w:sz w:val="18"/>
          <w:szCs w:val="18"/>
        </w:rPr>
        <w:t>actually owned</w:t>
      </w:r>
      <w:proofErr w:type="gramEnd"/>
      <w:r w:rsidRPr="00965A42">
        <w:rPr>
          <w:rFonts w:ascii="Times New Roman" w:hAnsi="Times New Roman" w:cs="Times New Roman"/>
          <w:sz w:val="18"/>
          <w:szCs w:val="18"/>
        </w:rPr>
        <w:t xml:space="preserve"> the property at issue. </w:t>
      </w:r>
      <w:r w:rsidRPr="00965A42">
        <w:rPr>
          <w:rFonts w:ascii="Times New Roman" w:hAnsi="Times New Roman" w:cs="Times New Roman"/>
          <w:b/>
          <w:bCs/>
          <w:sz w:val="18"/>
          <w:szCs w:val="18"/>
          <w:u w:val="single"/>
        </w:rPr>
        <w:t xml:space="preserve">Four states east of the Mississippi that require good faith in some </w:t>
      </w:r>
      <w:proofErr w:type="gramStart"/>
      <w:r w:rsidRPr="00965A42">
        <w:rPr>
          <w:rFonts w:ascii="Times New Roman" w:hAnsi="Times New Roman" w:cs="Times New Roman"/>
          <w:b/>
          <w:bCs/>
          <w:sz w:val="18"/>
          <w:szCs w:val="18"/>
          <w:u w:val="single"/>
        </w:rPr>
        <w:t>form</w:t>
      </w:r>
      <w:proofErr w:type="gramEnd"/>
      <w:r w:rsidRPr="00965A42">
        <w:rPr>
          <w:rFonts w:ascii="Times New Roman" w:hAnsi="Times New Roman" w:cs="Times New Roman"/>
          <w:b/>
          <w:bCs/>
          <w:sz w:val="18"/>
          <w:szCs w:val="18"/>
          <w:u w:val="single"/>
        </w:rPr>
        <w:t xml:space="preserve"> are Georgia, Illinois, New York, and Wisconsin.</w:t>
      </w:r>
      <w:r w:rsidR="00B771AC" w:rsidRPr="00965A42">
        <w:rPr>
          <w:rFonts w:ascii="Times New Roman" w:hAnsi="Times New Roman" w:cs="Times New Roman"/>
          <w:sz w:val="18"/>
          <w:szCs w:val="18"/>
        </w:rPr>
        <w:t xml:space="preserve"> </w:t>
      </w:r>
    </w:p>
    <w:p w14:paraId="1DBB48CA" w14:textId="77777777" w:rsidR="00DA2889" w:rsidRPr="00965A42" w:rsidRDefault="00DA2889" w:rsidP="00B771AC">
      <w:pPr>
        <w:jc w:val="center"/>
        <w:rPr>
          <w:rFonts w:ascii="Times New Roman" w:hAnsi="Times New Roman" w:cs="Times New Roman"/>
          <w:b/>
          <w:bCs/>
          <w:sz w:val="18"/>
          <w:szCs w:val="18"/>
        </w:rPr>
      </w:pPr>
      <w:r w:rsidRPr="00965A42">
        <w:rPr>
          <w:rFonts w:ascii="Times New Roman" w:hAnsi="Times New Roman" w:cs="Times New Roman"/>
          <w:b/>
          <w:bCs/>
          <w:sz w:val="18"/>
          <w:szCs w:val="18"/>
        </w:rPr>
        <w:t>Additional requirements</w:t>
      </w:r>
    </w:p>
    <w:p w14:paraId="34E42EF2" w14:textId="77777777"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addition to the basic elements of an adverse possession case, state law may require one or more additional elements to be proved by a person claiming adverse possession. Depending upon the state, additional requirements may include:</w:t>
      </w:r>
    </w:p>
    <w:p w14:paraId="30E9D148" w14:textId="7AF2288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Color of title, claim of title, or claim of right. Color of title and claim of title involve a legal document that appears to give the </w:t>
      </w:r>
      <w:proofErr w:type="spellStart"/>
      <w:r w:rsidRPr="00965A42">
        <w:rPr>
          <w:rFonts w:ascii="Times New Roman" w:hAnsi="Times New Roman" w:cs="Times New Roman"/>
          <w:b/>
          <w:bCs/>
          <w:sz w:val="18"/>
          <w:szCs w:val="18"/>
        </w:rPr>
        <w:t>disseisor</w:t>
      </w:r>
      <w:proofErr w:type="spellEnd"/>
      <w:r w:rsidRPr="00965A42">
        <w:rPr>
          <w:rFonts w:ascii="Times New Roman" w:hAnsi="Times New Roman" w:cs="Times New Roman"/>
          <w:sz w:val="18"/>
          <w:szCs w:val="18"/>
        </w:rPr>
        <w:t xml:space="preserve"> title.</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In some jurisdictions the mere intent to take the land as one's own may constitute "claim of right", with no documentation required. Other cases have determined that a claim of right exists if the person believes they have rightful claim to the property, even if that belief is mistaken. A negative example would be a timber thief who sneaks onto a property, cuts timber not visible from the road, and hauls the logs away at night. Their actions, though they demonstrate actual possession, also demonstrate knowledge of guilt, as opposed to claim of right.</w:t>
      </w:r>
    </w:p>
    <w:p w14:paraId="3EAE3908" w14:textId="77777777" w:rsidR="00965A42" w:rsidRPr="00965A42" w:rsidRDefault="00965A42" w:rsidP="00965A42">
      <w:pPr>
        <w:pStyle w:val="ListParagraph"/>
        <w:jc w:val="both"/>
        <w:rPr>
          <w:rFonts w:ascii="Times New Roman" w:hAnsi="Times New Roman" w:cs="Times New Roman"/>
          <w:sz w:val="8"/>
          <w:szCs w:val="8"/>
        </w:rPr>
      </w:pPr>
    </w:p>
    <w:p w14:paraId="150E890E" w14:textId="73FEB47D"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Good faith in a minority of states or bad faith</w:t>
      </w:r>
      <w:r w:rsidR="00FB1089" w:rsidRPr="00965A42">
        <w:rPr>
          <w:rFonts w:ascii="Times New Roman" w:hAnsi="Times New Roman" w:cs="Times New Roman"/>
          <w:sz w:val="18"/>
          <w:szCs w:val="18"/>
        </w:rPr>
        <w:t xml:space="preserve">, </w:t>
      </w:r>
      <w:r w:rsidRPr="00965A42">
        <w:rPr>
          <w:rFonts w:ascii="Times New Roman" w:hAnsi="Times New Roman" w:cs="Times New Roman"/>
          <w:sz w:val="18"/>
          <w:szCs w:val="18"/>
        </w:rPr>
        <w:t>sometimes called the "Maine Doctrine" although it is now abolished in Maine</w:t>
      </w:r>
      <w:r w:rsidR="00FB1089" w:rsidRPr="00965A42">
        <w:rPr>
          <w:rFonts w:ascii="Times New Roman" w:hAnsi="Times New Roman" w:cs="Times New Roman"/>
          <w:sz w:val="18"/>
          <w:szCs w:val="18"/>
        </w:rPr>
        <w:t>.</w:t>
      </w:r>
    </w:p>
    <w:p w14:paraId="7797A8FB" w14:textId="77777777" w:rsidR="00965A42" w:rsidRPr="00965A42" w:rsidRDefault="00965A42" w:rsidP="00965A42">
      <w:pPr>
        <w:pStyle w:val="ListParagraph"/>
        <w:rPr>
          <w:rFonts w:ascii="Times New Roman" w:hAnsi="Times New Roman" w:cs="Times New Roman"/>
          <w:sz w:val="8"/>
          <w:szCs w:val="8"/>
        </w:rPr>
      </w:pPr>
    </w:p>
    <w:p w14:paraId="69ACA604" w14:textId="633B90A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lastRenderedPageBreak/>
        <w:t xml:space="preserve">Improvement, cultivation, or </w:t>
      </w:r>
      <w:proofErr w:type="gramStart"/>
      <w:r w:rsidRPr="00965A42">
        <w:rPr>
          <w:rFonts w:ascii="Times New Roman" w:hAnsi="Times New Roman" w:cs="Times New Roman"/>
          <w:sz w:val="18"/>
          <w:szCs w:val="18"/>
        </w:rPr>
        <w:t>enclosure</w:t>
      </w:r>
      <w:r w:rsidR="00B771AC" w:rsidRPr="00965A42">
        <w:rPr>
          <w:rFonts w:ascii="Times New Roman" w:hAnsi="Times New Roman" w:cs="Times New Roman"/>
          <w:sz w:val="18"/>
          <w:szCs w:val="18"/>
        </w:rPr>
        <w:t xml:space="preserve"> </w:t>
      </w:r>
      <w:r w:rsidR="00965A42">
        <w:rPr>
          <w:rFonts w:ascii="Times New Roman" w:hAnsi="Times New Roman" w:cs="Times New Roman"/>
          <w:sz w:val="18"/>
          <w:szCs w:val="18"/>
        </w:rPr>
        <w:t>.</w:t>
      </w:r>
      <w:proofErr w:type="gramEnd"/>
    </w:p>
    <w:p w14:paraId="317501CB" w14:textId="77777777" w:rsidR="00965A42" w:rsidRPr="00965A42" w:rsidRDefault="00965A42" w:rsidP="00965A42">
      <w:pPr>
        <w:pStyle w:val="ListParagraph"/>
        <w:rPr>
          <w:rFonts w:ascii="Times New Roman" w:hAnsi="Times New Roman" w:cs="Times New Roman"/>
          <w:sz w:val="8"/>
          <w:szCs w:val="8"/>
        </w:rPr>
      </w:pPr>
    </w:p>
    <w:p w14:paraId="1F69CFAE" w14:textId="12783C6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Payment of property taxes. This may be required by statute, such as in California, or just a contributing element to a court's determination of possession. Both payment by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and by the true owner are relevant.</w:t>
      </w:r>
    </w:p>
    <w:p w14:paraId="51B93999" w14:textId="77777777" w:rsidR="00965A42" w:rsidRPr="00965A42" w:rsidRDefault="00965A42" w:rsidP="00965A42">
      <w:pPr>
        <w:pStyle w:val="ListParagraph"/>
        <w:rPr>
          <w:rFonts w:ascii="Times New Roman" w:hAnsi="Times New Roman" w:cs="Times New Roman"/>
          <w:sz w:val="8"/>
          <w:szCs w:val="8"/>
        </w:rPr>
      </w:pPr>
    </w:p>
    <w:p w14:paraId="39511317" w14:textId="00EB7FE1" w:rsidR="00DA2889" w:rsidRPr="00965A42"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Dispossession of land owned by a governmental entity: Generally, a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cannot dispossess land legally owned by a government entity even if all other elements of adverse possession are met. One exception is when the government entity is acting like a business rather than a government entity.</w:t>
      </w:r>
      <w:r w:rsidR="00B771AC" w:rsidRPr="00965A42">
        <w:rPr>
          <w:rFonts w:ascii="Times New Roman" w:hAnsi="Times New Roman" w:cs="Times New Roman"/>
          <w:sz w:val="18"/>
          <w:szCs w:val="18"/>
        </w:rPr>
        <w:t xml:space="preserve"> </w:t>
      </w:r>
    </w:p>
    <w:p w14:paraId="76561AC4"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Consequences</w:t>
      </w:r>
    </w:p>
    <w:p w14:paraId="2192F7BB" w14:textId="77777777" w:rsidR="00965A42" w:rsidRDefault="00DA2889" w:rsidP="00B771AC">
      <w:pPr>
        <w:jc w:val="both"/>
        <w:rPr>
          <w:rFonts w:ascii="Times New Roman" w:hAnsi="Times New Roman" w:cs="Times New Roman"/>
          <w:sz w:val="18"/>
          <w:szCs w:val="18"/>
        </w:rPr>
      </w:pPr>
      <w:r w:rsidRPr="00965A42">
        <w:rPr>
          <w:rFonts w:ascii="Times New Roman" w:hAnsi="Times New Roman" w:cs="Times New Roman"/>
          <w:b/>
          <w:bCs/>
          <w:i/>
          <w:iCs/>
          <w:sz w:val="18"/>
          <w:szCs w:val="18"/>
        </w:rPr>
        <w:t xml:space="preserve">A </w:t>
      </w:r>
      <w:proofErr w:type="spellStart"/>
      <w:r w:rsidRPr="00965A42">
        <w:rPr>
          <w:rFonts w:ascii="Times New Roman" w:hAnsi="Times New Roman" w:cs="Times New Roman"/>
          <w:b/>
          <w:bCs/>
          <w:i/>
          <w:iCs/>
          <w:sz w:val="18"/>
          <w:szCs w:val="18"/>
        </w:rPr>
        <w:t>disseisor</w:t>
      </w:r>
      <w:proofErr w:type="spellEnd"/>
      <w:r w:rsidRPr="00965A42">
        <w:rPr>
          <w:rFonts w:ascii="Times New Roman" w:hAnsi="Times New Roman" w:cs="Times New Roman"/>
          <w:b/>
          <w:bCs/>
          <w:i/>
          <w:iCs/>
          <w:sz w:val="18"/>
          <w:szCs w:val="18"/>
        </w:rPr>
        <w:t xml:space="preserve"> will be committing a civil trespass on the property he has </w:t>
      </w:r>
      <w:proofErr w:type="gramStart"/>
      <w:r w:rsidRPr="00965A42">
        <w:rPr>
          <w:rFonts w:ascii="Times New Roman" w:hAnsi="Times New Roman" w:cs="Times New Roman"/>
          <w:b/>
          <w:bCs/>
          <w:i/>
          <w:iCs/>
          <w:sz w:val="18"/>
          <w:szCs w:val="18"/>
        </w:rPr>
        <w:t>taken</w:t>
      </w:r>
      <w:proofErr w:type="gramEnd"/>
      <w:r w:rsidRPr="00965A42">
        <w:rPr>
          <w:rFonts w:ascii="Times New Roman" w:hAnsi="Times New Roman" w:cs="Times New Roman"/>
          <w:b/>
          <w:bCs/>
          <w:i/>
          <w:iCs/>
          <w:sz w:val="18"/>
          <w:szCs w:val="18"/>
        </w:rPr>
        <w:t xml:space="preserve"> and the owner of the property could cause him to be evicted by an action in trespass ("ejectment") or by bringing an action for possession</w:t>
      </w:r>
      <w:r w:rsidRPr="00965A42">
        <w:rPr>
          <w:rFonts w:ascii="Times New Roman" w:hAnsi="Times New Roman" w:cs="Times New Roman"/>
          <w:sz w:val="18"/>
          <w:szCs w:val="18"/>
        </w:rPr>
        <w:t>. All common law jurisdictions require that an ejectment action be brought within a specified time, after which the true owner is assumed to have </w:t>
      </w:r>
      <w:proofErr w:type="gramStart"/>
      <w:r w:rsidRPr="00965A42">
        <w:rPr>
          <w:rFonts w:ascii="Times New Roman" w:hAnsi="Times New Roman" w:cs="Times New Roman"/>
          <w:sz w:val="18"/>
          <w:szCs w:val="18"/>
        </w:rPr>
        <w:t>acquiesced</w:t>
      </w:r>
      <w:proofErr w:type="gramEnd"/>
      <w:r w:rsidRPr="00965A42">
        <w:rPr>
          <w:rFonts w:ascii="Times New Roman" w:hAnsi="Times New Roman" w:cs="Times New Roman"/>
          <w:sz w:val="18"/>
          <w:szCs w:val="18"/>
        </w:rPr>
        <w:t>. The effect of a failure by the true landowner to evict the adverse possessor depends on the </w:t>
      </w:r>
      <w:proofErr w:type="gramStart"/>
      <w:r w:rsidRPr="00965A42">
        <w:rPr>
          <w:rFonts w:ascii="Times New Roman" w:hAnsi="Times New Roman" w:cs="Times New Roman"/>
          <w:sz w:val="18"/>
          <w:szCs w:val="18"/>
        </w:rPr>
        <w:t>jurisdiction, but</w:t>
      </w:r>
      <w:proofErr w:type="gramEnd"/>
      <w:r w:rsidRPr="00965A42">
        <w:rPr>
          <w:rFonts w:ascii="Times New Roman" w:hAnsi="Times New Roman" w:cs="Times New Roman"/>
          <w:sz w:val="18"/>
          <w:szCs w:val="18"/>
        </w:rPr>
        <w:t xml:space="preserve"> will eventually result in title by adverse possession.</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2008, due to the volume of adverse possession and boundary dispute cases throughout New York City, the New York State Legislature amended and limited the ability of land to be acquired by adverse possession. Prior to the 2008 amendment, to acquire property by adverse possession, all that was required was a </w:t>
      </w:r>
      <w:proofErr w:type="gramStart"/>
      <w:r w:rsidRPr="00965A42">
        <w:rPr>
          <w:rFonts w:ascii="Times New Roman" w:hAnsi="Times New Roman" w:cs="Times New Roman"/>
          <w:sz w:val="18"/>
          <w:szCs w:val="18"/>
        </w:rPr>
        <w:t>showing</w:t>
      </w:r>
      <w:proofErr w:type="gramEnd"/>
      <w:r w:rsidRPr="00965A42">
        <w:rPr>
          <w:rFonts w:ascii="Times New Roman" w:hAnsi="Times New Roman" w:cs="Times New Roman"/>
          <w:sz w:val="18"/>
          <w:szCs w:val="18"/>
        </w:rPr>
        <w:t xml:space="preserve"> that the possession constituted an actual invasion of or infringement upon the owner's rights. </w:t>
      </w:r>
    </w:p>
    <w:p w14:paraId="5C39BDC1" w14:textId="77777777" w:rsidR="00832474"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Approximately eight years after the 2008 amendment, on 30 June 2016, the New York State Appellate Division, First Department (i.e., the appellate court covering the territory of Manhattan) determined the legal questions concerning the scope of rights acquired by adverse possession and how the First Department would treat claims of adverse possession where title had vested prior to 2008. The Court specifically held that title to the adversely possessed property vested when the plaintiff "</w:t>
      </w:r>
      <w:proofErr w:type="gramStart"/>
      <w:r w:rsidRPr="00965A42">
        <w:rPr>
          <w:rFonts w:ascii="Times New Roman" w:hAnsi="Times New Roman" w:cs="Times New Roman"/>
          <w:sz w:val="18"/>
          <w:szCs w:val="18"/>
        </w:rPr>
        <w:t>satisfied</w:t>
      </w:r>
      <w:proofErr w:type="gramEnd"/>
      <w:r w:rsidRPr="00965A42">
        <w:rPr>
          <w:rFonts w:ascii="Times New Roman" w:hAnsi="Times New Roman" w:cs="Times New Roman"/>
          <w:sz w:val="18"/>
          <w:szCs w:val="18"/>
        </w:rPr>
        <w:t xml:space="preserve"> the requirement of the statute in effect at the relevant time." In other words, if title had vested at some time "after" the 2008 amendment, a plaintiff would have to satisfy the adverse possession standards amended by the New York State Legislature in 2008; however, if title vested at some time "before" the 2008 amendment, a plaintiff would have lawfully acquired title to the disputed area by satisfying the pre-amendment standard for adverse possession. </w:t>
      </w:r>
    </w:p>
    <w:p w14:paraId="3D45EC9A" w14:textId="77777777" w:rsid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Hudson Square Hotel</w:t>
      </w:r>
      <w:r w:rsidRPr="00965A42">
        <w:rPr>
          <w:rFonts w:ascii="Times New Roman" w:hAnsi="Times New Roman" w:cs="Times New Roman"/>
          <w:sz w:val="18"/>
          <w:szCs w:val="18"/>
        </w:rPr>
        <w:t> also resolved two often highly litigated issues in adverse possession cases where the air rights are more valuable than the underlying land itself: (a) "where"</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 in three-dimensional physical space is an encroachment required in order for such encroachment to have any relevant operative effect or consequences under the law of adverse possession, and (b) "what" property rights are acquired as a result of title to the ground floor area</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 the land</w:t>
      </w:r>
      <w:r w:rsidR="002D0DAD" w:rsidRPr="00965A42">
        <w:rPr>
          <w:rFonts w:ascii="Times New Roman" w:hAnsi="Times New Roman" w:cs="Times New Roman"/>
          <w:sz w:val="18"/>
          <w:szCs w:val="18"/>
        </w:rPr>
        <w:t>,</w:t>
      </w:r>
      <w:r w:rsidRPr="00965A42">
        <w:rPr>
          <w:rFonts w:ascii="Times New Roman" w:hAnsi="Times New Roman" w:cs="Times New Roman"/>
          <w:sz w:val="18"/>
          <w:szCs w:val="18"/>
        </w:rPr>
        <w:t xml:space="preserve"> vesting with the plaintiff. In </w:t>
      </w:r>
      <w:r w:rsidRPr="00965A42">
        <w:rPr>
          <w:rFonts w:ascii="Times New Roman" w:hAnsi="Times New Roman" w:cs="Times New Roman"/>
          <w:i/>
          <w:iCs/>
          <w:sz w:val="18"/>
          <w:szCs w:val="18"/>
        </w:rPr>
        <w:t>Hudson Square Hotel</w:t>
      </w:r>
      <w:r w:rsidRPr="00965A42">
        <w:rPr>
          <w:rFonts w:ascii="Times New Roman" w:hAnsi="Times New Roman" w:cs="Times New Roman"/>
          <w:sz w:val="18"/>
          <w:szCs w:val="18"/>
        </w:rPr>
        <w:t> the defendant argued that the plaintiff had only acquired title to the underlying land, but not the air rights, because the plaintiff never encroached above the two-story building. This argument was motivated, in part, by the fact that the zoning laws at the time permitted the owner of the land to build</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w:t>
      </w:r>
      <w:proofErr w:type="gramStart"/>
      <w:r w:rsidRPr="00965A42">
        <w:rPr>
          <w:rFonts w:ascii="Times New Roman" w:hAnsi="Times New Roman" w:cs="Times New Roman"/>
          <w:sz w:val="18"/>
          <w:szCs w:val="18"/>
        </w:rPr>
        <w:t>, develop</w:t>
      </w:r>
      <w:proofErr w:type="gramEnd"/>
      <w:r w:rsidRPr="00965A42">
        <w:rPr>
          <w:rFonts w:ascii="Times New Roman" w:hAnsi="Times New Roman" w:cs="Times New Roman"/>
          <w:sz w:val="18"/>
          <w:szCs w:val="18"/>
        </w:rPr>
        <w:t xml:space="preserve"> up to six times the square footage of the ground floor area. For example, if the disputed area was 1,000 square feet, there would be 6,000 square feet of buildable square footage to potentially be won or lost by adverse possession. </w:t>
      </w:r>
    </w:p>
    <w:p w14:paraId="21F1D0C7" w14:textId="2E31884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The Court clarified, "It is the encroachment on the land ... that allows title to pass to the adverse possessor." In other words, the plaintiff did not need to encroach upon all six stories </w:t>
      </w:r>
      <w:proofErr w:type="gramStart"/>
      <w:r w:rsidRPr="00965A42">
        <w:rPr>
          <w:rFonts w:ascii="Times New Roman" w:hAnsi="Times New Roman" w:cs="Times New Roman"/>
          <w:sz w:val="18"/>
          <w:szCs w:val="18"/>
        </w:rPr>
        <w:t>in order to</w:t>
      </w:r>
      <w:proofErr w:type="gramEnd"/>
      <w:r w:rsidRPr="00965A42">
        <w:rPr>
          <w:rFonts w:ascii="Times New Roman" w:hAnsi="Times New Roman" w:cs="Times New Roman"/>
          <w:sz w:val="18"/>
          <w:szCs w:val="18"/>
        </w:rPr>
        <w:t xml:space="preserve"> adversely possess the air rights above the land. The Court also held, "With title to land come air rights." In other words, by acquiring title to the land</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i.e., ground floor area, the plaintiff also acquired ownership of the more valuable air rights that were </w:t>
      </w:r>
      <w:proofErr w:type="gramStart"/>
      <w:r w:rsidRPr="00965A42">
        <w:rPr>
          <w:rFonts w:ascii="Times New Roman" w:hAnsi="Times New Roman" w:cs="Times New Roman"/>
          <w:sz w:val="18"/>
          <w:szCs w:val="18"/>
        </w:rPr>
        <w:t>derivative</w:t>
      </w:r>
      <w:proofErr w:type="gramEnd"/>
      <w:r w:rsidRPr="00965A42">
        <w:rPr>
          <w:rFonts w:ascii="Times New Roman" w:hAnsi="Times New Roman" w:cs="Times New Roman"/>
          <w:sz w:val="18"/>
          <w:szCs w:val="18"/>
        </w:rPr>
        <w:t xml:space="preserve"> of title to the underlying land.</w:t>
      </w:r>
    </w:p>
    <w:p w14:paraId="19B0EAE7" w14:textId="77777777" w:rsidR="00832474"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other jurisdictions,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acquires merely an equitable title; the landowner </w:t>
      </w:r>
      <w:proofErr w:type="gramStart"/>
      <w:r w:rsidRPr="00965A42">
        <w:rPr>
          <w:rFonts w:ascii="Times New Roman" w:hAnsi="Times New Roman" w:cs="Times New Roman"/>
          <w:sz w:val="18"/>
          <w:szCs w:val="18"/>
        </w:rPr>
        <w:t>is considered to be</w:t>
      </w:r>
      <w:proofErr w:type="gramEnd"/>
      <w:r w:rsidRPr="00965A42">
        <w:rPr>
          <w:rFonts w:ascii="Times New Roman" w:hAnsi="Times New Roman" w:cs="Times New Roman"/>
          <w:sz w:val="18"/>
          <w:szCs w:val="18"/>
        </w:rPr>
        <w:t xml:space="preserve"> a trustee of the property for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Adverse possession extends only to the property </w:t>
      </w:r>
      <w:proofErr w:type="gramStart"/>
      <w:r w:rsidRPr="00965A42">
        <w:rPr>
          <w:rFonts w:ascii="Times New Roman" w:hAnsi="Times New Roman" w:cs="Times New Roman"/>
          <w:sz w:val="18"/>
          <w:szCs w:val="18"/>
        </w:rPr>
        <w:t>actually possessed</w:t>
      </w:r>
      <w:proofErr w:type="gramEnd"/>
      <w:r w:rsidRPr="00965A42">
        <w:rPr>
          <w:rFonts w:ascii="Times New Roman" w:hAnsi="Times New Roman" w:cs="Times New Roman"/>
          <w:sz w:val="18"/>
          <w:szCs w:val="18"/>
        </w:rPr>
        <w:t xml:space="preserve">. If the original owner had a title to a greater area or volume of property,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does not obtain all of it. </w:t>
      </w:r>
      <w:r w:rsidRPr="00832474">
        <w:rPr>
          <w:rFonts w:ascii="Times New Roman" w:hAnsi="Times New Roman" w:cs="Times New Roman"/>
          <w:i/>
          <w:iCs/>
          <w:sz w:val="18"/>
          <w:szCs w:val="18"/>
        </w:rPr>
        <w:t xml:space="preserve">The exception to this is when the </w:t>
      </w:r>
      <w:proofErr w:type="spellStart"/>
      <w:r w:rsidRPr="00832474">
        <w:rPr>
          <w:rFonts w:ascii="Times New Roman" w:hAnsi="Times New Roman" w:cs="Times New Roman"/>
          <w:i/>
          <w:iCs/>
          <w:sz w:val="18"/>
          <w:szCs w:val="18"/>
        </w:rPr>
        <w:t>disseisor</w:t>
      </w:r>
      <w:proofErr w:type="spellEnd"/>
      <w:r w:rsidRPr="00832474">
        <w:rPr>
          <w:rFonts w:ascii="Times New Roman" w:hAnsi="Times New Roman" w:cs="Times New Roman"/>
          <w:i/>
          <w:iCs/>
          <w:sz w:val="18"/>
          <w:szCs w:val="18"/>
        </w:rPr>
        <w:t xml:space="preserve"> enters the land under a color of title to an entire parcel, their continuous and actual possession of a small part of that parcel will perfect their title to the entire parcel defined in their color of title.</w:t>
      </w:r>
      <w:r w:rsidRPr="00965A42">
        <w:rPr>
          <w:rFonts w:ascii="Times New Roman" w:hAnsi="Times New Roman" w:cs="Times New Roman"/>
          <w:sz w:val="18"/>
          <w:szCs w:val="18"/>
        </w:rPr>
        <w:t xml:space="preserve"> </w:t>
      </w:r>
      <w:r w:rsidR="002D0DAD" w:rsidRPr="00832474">
        <w:rPr>
          <w:rFonts w:ascii="Times New Roman" w:hAnsi="Times New Roman" w:cs="Times New Roman"/>
          <w:b/>
          <w:bCs/>
          <w:i/>
          <w:iCs/>
          <w:color w:val="C00000"/>
          <w:sz w:val="18"/>
          <w:szCs w:val="18"/>
        </w:rPr>
        <w:t>Thus,</w:t>
      </w:r>
      <w:r w:rsidRPr="00832474">
        <w:rPr>
          <w:rFonts w:ascii="Times New Roman" w:hAnsi="Times New Roman" w:cs="Times New Roman"/>
          <w:b/>
          <w:bCs/>
          <w:i/>
          <w:iCs/>
          <w:color w:val="C00000"/>
          <w:sz w:val="18"/>
          <w:szCs w:val="18"/>
        </w:rPr>
        <w:t xml:space="preserve"> a </w:t>
      </w:r>
      <w:proofErr w:type="spellStart"/>
      <w:r w:rsidRPr="00832474">
        <w:rPr>
          <w:rFonts w:ascii="Times New Roman" w:hAnsi="Times New Roman" w:cs="Times New Roman"/>
          <w:b/>
          <w:bCs/>
          <w:i/>
          <w:iCs/>
          <w:color w:val="C00000"/>
          <w:sz w:val="18"/>
          <w:szCs w:val="18"/>
        </w:rPr>
        <w:t>disseisor</w:t>
      </w:r>
      <w:proofErr w:type="spellEnd"/>
      <w:r w:rsidRPr="00832474">
        <w:rPr>
          <w:rFonts w:ascii="Times New Roman" w:hAnsi="Times New Roman" w:cs="Times New Roman"/>
          <w:b/>
          <w:bCs/>
          <w:i/>
          <w:iCs/>
          <w:color w:val="C00000"/>
          <w:sz w:val="18"/>
          <w:szCs w:val="18"/>
        </w:rPr>
        <w:t xml:space="preserve"> need not build a dwelling on, or farm on, every portion of a large tract </w:t>
      </w:r>
      <w:proofErr w:type="gramStart"/>
      <w:r w:rsidRPr="00832474">
        <w:rPr>
          <w:rFonts w:ascii="Times New Roman" w:hAnsi="Times New Roman" w:cs="Times New Roman"/>
          <w:b/>
          <w:bCs/>
          <w:i/>
          <w:iCs/>
          <w:color w:val="C00000"/>
          <w:sz w:val="18"/>
          <w:szCs w:val="18"/>
        </w:rPr>
        <w:t>in order to</w:t>
      </w:r>
      <w:proofErr w:type="gramEnd"/>
      <w:r w:rsidRPr="00832474">
        <w:rPr>
          <w:rFonts w:ascii="Times New Roman" w:hAnsi="Times New Roman" w:cs="Times New Roman"/>
          <w:b/>
          <w:bCs/>
          <w:i/>
          <w:iCs/>
          <w:color w:val="C00000"/>
          <w:sz w:val="18"/>
          <w:szCs w:val="18"/>
        </w:rPr>
        <w:t xml:space="preserve"> prove possession, </w:t>
      </w:r>
      <w:proofErr w:type="gramStart"/>
      <w:r w:rsidRPr="00832474">
        <w:rPr>
          <w:rFonts w:ascii="Times New Roman" w:hAnsi="Times New Roman" w:cs="Times New Roman"/>
          <w:b/>
          <w:bCs/>
          <w:i/>
          <w:iCs/>
          <w:color w:val="C00000"/>
          <w:sz w:val="18"/>
          <w:szCs w:val="18"/>
        </w:rPr>
        <w:t>as long as</w:t>
      </w:r>
      <w:proofErr w:type="gramEnd"/>
      <w:r w:rsidRPr="00832474">
        <w:rPr>
          <w:rFonts w:ascii="Times New Roman" w:hAnsi="Times New Roman" w:cs="Times New Roman"/>
          <w:b/>
          <w:bCs/>
          <w:i/>
          <w:iCs/>
          <w:color w:val="C00000"/>
          <w:sz w:val="18"/>
          <w:szCs w:val="18"/>
        </w:rPr>
        <w:t xml:space="preserve"> their title does correctly describe the entire parcel.</w:t>
      </w:r>
      <w:r w:rsidR="00534458" w:rsidRPr="00832474">
        <w:rPr>
          <w:rFonts w:ascii="Times New Roman" w:hAnsi="Times New Roman" w:cs="Times New Roman"/>
          <w:color w:val="C00000"/>
          <w:sz w:val="18"/>
          <w:szCs w:val="18"/>
        </w:rPr>
        <w:t xml:space="preserve"> </w:t>
      </w:r>
    </w:p>
    <w:p w14:paraId="5549A9B1" w14:textId="3E929D7F" w:rsidR="00D510DE"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some jurisdictions, a person who has successfully obtained title to property by adverse possession may optionally bring an action in land court to "quiet title" of record in their name on some or </w:t>
      </w:r>
      <w:proofErr w:type="gramStart"/>
      <w:r w:rsidRPr="00965A42">
        <w:rPr>
          <w:rFonts w:ascii="Times New Roman" w:hAnsi="Times New Roman" w:cs="Times New Roman"/>
          <w:sz w:val="18"/>
          <w:szCs w:val="18"/>
        </w:rPr>
        <w:t>all of</w:t>
      </w:r>
      <w:proofErr w:type="gramEnd"/>
      <w:r w:rsidRPr="00965A42">
        <w:rPr>
          <w:rFonts w:ascii="Times New Roman" w:hAnsi="Times New Roman" w:cs="Times New Roman"/>
          <w:sz w:val="18"/>
          <w:szCs w:val="18"/>
        </w:rPr>
        <w:t xml:space="preserve"> the former owner's property. Such action will make it simpler to convey </w:t>
      </w:r>
      <w:proofErr w:type="gramStart"/>
      <w:r w:rsidRPr="00965A42">
        <w:rPr>
          <w:rFonts w:ascii="Times New Roman" w:hAnsi="Times New Roman" w:cs="Times New Roman"/>
          <w:sz w:val="18"/>
          <w:szCs w:val="18"/>
        </w:rPr>
        <w:t>the interest</w:t>
      </w:r>
      <w:proofErr w:type="gramEnd"/>
      <w:r w:rsidRPr="00965A42">
        <w:rPr>
          <w:rFonts w:ascii="Times New Roman" w:hAnsi="Times New Roman" w:cs="Times New Roman"/>
          <w:sz w:val="18"/>
          <w:szCs w:val="18"/>
        </w:rPr>
        <w:t xml:space="preserve"> to others in a definitive </w:t>
      </w:r>
      <w:proofErr w:type="gramStart"/>
      <w:r w:rsidRPr="00965A42">
        <w:rPr>
          <w:rFonts w:ascii="Times New Roman" w:hAnsi="Times New Roman" w:cs="Times New Roman"/>
          <w:sz w:val="18"/>
          <w:szCs w:val="18"/>
        </w:rPr>
        <w:t>manner, and</w:t>
      </w:r>
      <w:proofErr w:type="gramEnd"/>
      <w:r w:rsidRPr="00965A42">
        <w:rPr>
          <w:rFonts w:ascii="Times New Roman" w:hAnsi="Times New Roman" w:cs="Times New Roman"/>
          <w:sz w:val="18"/>
          <w:szCs w:val="18"/>
        </w:rPr>
        <w:t xml:space="preserve"> also serves as notice that there is a new </w:t>
      </w:r>
      <w:r w:rsidRPr="00965A42">
        <w:rPr>
          <w:rFonts w:ascii="Times New Roman" w:hAnsi="Times New Roman" w:cs="Times New Roman"/>
          <w:i/>
          <w:iCs/>
          <w:sz w:val="18"/>
          <w:szCs w:val="18"/>
        </w:rPr>
        <w:t>owner of record</w:t>
      </w:r>
      <w:r w:rsidRPr="00965A42">
        <w:rPr>
          <w:rFonts w:ascii="Times New Roman" w:hAnsi="Times New Roman" w:cs="Times New Roman"/>
          <w:sz w:val="18"/>
          <w:szCs w:val="18"/>
        </w:rPr>
        <w:t>, which may be a prerequisite to benefits such as equity loans or judicial standing as an </w:t>
      </w:r>
      <w:r w:rsidRPr="00965A42">
        <w:rPr>
          <w:rFonts w:ascii="Times New Roman" w:hAnsi="Times New Roman" w:cs="Times New Roman"/>
          <w:i/>
          <w:iCs/>
          <w:sz w:val="18"/>
          <w:szCs w:val="18"/>
        </w:rPr>
        <w:t>abutter</w:t>
      </w:r>
      <w:r w:rsidRPr="00965A42">
        <w:rPr>
          <w:rFonts w:ascii="Times New Roman" w:hAnsi="Times New Roman" w:cs="Times New Roman"/>
          <w:sz w:val="18"/>
          <w:szCs w:val="18"/>
        </w:rPr>
        <w:t xml:space="preserve">. </w:t>
      </w:r>
    </w:p>
    <w:p w14:paraId="425FCF0D" w14:textId="33306A9F" w:rsidR="00D510DE" w:rsidRPr="00965A42" w:rsidRDefault="00D510DE" w:rsidP="00D510DE">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lastRenderedPageBreak/>
        <w:t xml:space="preserve">An </w:t>
      </w:r>
      <w:proofErr w:type="gramStart"/>
      <w:r w:rsidRPr="00965A42">
        <w:rPr>
          <w:rFonts w:ascii="Times New Roman" w:hAnsi="Times New Roman" w:cs="Times New Roman"/>
          <w:b/>
          <w:bCs/>
          <w:sz w:val="18"/>
          <w:szCs w:val="18"/>
        </w:rPr>
        <w:t>abutter</w:t>
      </w:r>
      <w:proofErr w:type="gramEnd"/>
      <w:r w:rsidRPr="00965A42">
        <w:rPr>
          <w:rFonts w:ascii="Times New Roman" w:hAnsi="Times New Roman" w:cs="Times New Roman"/>
          <w:sz w:val="18"/>
          <w:szCs w:val="18"/>
        </w:rPr>
        <w:t xml:space="preserve"> is a person or entity whose property is adjacent to the property of another. In jurisdictions such as Massachusetts, New Hampshire, and Nova Scotia, it is a </w:t>
      </w:r>
      <w:proofErr w:type="gramStart"/>
      <w:r w:rsidRPr="00965A42">
        <w:rPr>
          <w:rFonts w:ascii="Times New Roman" w:hAnsi="Times New Roman" w:cs="Times New Roman"/>
          <w:sz w:val="18"/>
          <w:szCs w:val="18"/>
        </w:rPr>
        <w:t>defined  legal</w:t>
      </w:r>
      <w:proofErr w:type="gramEnd"/>
      <w:r w:rsidRPr="00965A42">
        <w:rPr>
          <w:rFonts w:ascii="Times New Roman" w:hAnsi="Times New Roman" w:cs="Times New Roman"/>
          <w:sz w:val="18"/>
          <w:szCs w:val="18"/>
        </w:rPr>
        <w:t xml:space="preserve"> term. Some jurisdictions, such as Virginia, may use the term </w:t>
      </w:r>
      <w:r w:rsidRPr="00965A42">
        <w:rPr>
          <w:rFonts w:ascii="Times New Roman" w:hAnsi="Times New Roman" w:cs="Times New Roman"/>
          <w:b/>
          <w:bCs/>
          <w:sz w:val="18"/>
          <w:szCs w:val="18"/>
        </w:rPr>
        <w:t>adjacent landowner</w:t>
      </w:r>
      <w:r w:rsidRPr="00965A42">
        <w:rPr>
          <w:rFonts w:ascii="Times New Roman" w:hAnsi="Times New Roman" w:cs="Times New Roman"/>
          <w:sz w:val="18"/>
          <w:szCs w:val="18"/>
        </w:rPr>
        <w:t xml:space="preserve">, while others, such as California, use the term </w:t>
      </w:r>
      <w:r w:rsidRPr="00965A42">
        <w:rPr>
          <w:rFonts w:ascii="Times New Roman" w:hAnsi="Times New Roman" w:cs="Times New Roman"/>
          <w:b/>
          <w:bCs/>
          <w:sz w:val="18"/>
          <w:szCs w:val="18"/>
        </w:rPr>
        <w:t>adjoining landowner</w:t>
      </w:r>
      <w:r w:rsidRPr="00965A42">
        <w:rPr>
          <w:rFonts w:ascii="Times New Roman" w:hAnsi="Times New Roman" w:cs="Times New Roman"/>
          <w:sz w:val="18"/>
          <w:szCs w:val="18"/>
        </w:rPr>
        <w:t>,</w:t>
      </w:r>
      <w:hyperlink r:id="rId8" w:anchor="Ref-6" w:history="1"/>
      <w:r w:rsidRPr="00965A42">
        <w:rPr>
          <w:rFonts w:ascii="Times New Roman" w:hAnsi="Times New Roman" w:cs="Times New Roman"/>
          <w:sz w:val="18"/>
          <w:szCs w:val="18"/>
        </w:rPr>
        <w:t xml:space="preserve"> and the United States Environmental Protection Agency defines rights of </w:t>
      </w:r>
      <w:r w:rsidRPr="00965A42">
        <w:rPr>
          <w:rFonts w:ascii="Times New Roman" w:hAnsi="Times New Roman" w:cs="Times New Roman"/>
          <w:b/>
          <w:bCs/>
          <w:sz w:val="18"/>
          <w:szCs w:val="18"/>
        </w:rPr>
        <w:t>contiguous property owners</w:t>
      </w:r>
      <w:r w:rsidRPr="00965A42">
        <w:rPr>
          <w:rFonts w:ascii="Times New Roman" w:hAnsi="Times New Roman" w:cs="Times New Roman"/>
          <w:sz w:val="18"/>
          <w:szCs w:val="18"/>
        </w:rPr>
        <w:t xml:space="preserve"> (CPO)</w:t>
      </w:r>
      <w:r w:rsidR="00832474">
        <w:rPr>
          <w:rFonts w:ascii="Times New Roman" w:hAnsi="Times New Roman" w:cs="Times New Roman"/>
          <w:sz w:val="18"/>
          <w:szCs w:val="18"/>
        </w:rPr>
        <w:t>.</w:t>
      </w:r>
    </w:p>
    <w:p w14:paraId="0484DECC" w14:textId="05FFD374"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Even if such action is not taken, the title is legally considered to belong to the new titleholder, with most of the benefits and duties, including paying property taxes to avoid losing title to the tax collector. The effects of having a stranger to the title paying taxes on property may vary from one jurisdiction to another. Many jurisdictions have accepted tax payment for the same parcel from two different parties without raising an objection or notifying either party that the other had also paid.</w:t>
      </w:r>
    </w:p>
    <w:p w14:paraId="264FC5EB" w14:textId="7CB63374" w:rsidR="00D510DE" w:rsidRPr="00965A42" w:rsidRDefault="00D510DE" w:rsidP="00D510DE">
      <w:pPr>
        <w:rPr>
          <w:rFonts w:ascii="Times New Roman" w:hAnsi="Times New Roman" w:cs="Times New Roman"/>
          <w:sz w:val="18"/>
          <w:szCs w:val="18"/>
        </w:rPr>
      </w:pPr>
      <w:r w:rsidRPr="00965A42">
        <w:rPr>
          <w:rFonts w:ascii="Times New Roman" w:hAnsi="Times New Roman" w:cs="Times New Roman"/>
          <w:sz w:val="18"/>
          <w:szCs w:val="18"/>
        </w:rPr>
        <w:t>In the spirit of land use politics, even the unified voices of the concerned abutters may sound only faintly against the machinery of "progress" or well-funded special interests. However, the courts will objectively consider a proper case brought by an abutter whose rights have been arguably under-appreciated. Generally, the more abutters interested in a project, the more likely someone will object to it.</w:t>
      </w:r>
    </w:p>
    <w:p w14:paraId="5D6897B8" w14:textId="0299E2E8" w:rsidR="00D510DE" w:rsidRPr="00965A42" w:rsidRDefault="00D510DE" w:rsidP="00D510DE">
      <w:pPr>
        <w:rPr>
          <w:rFonts w:ascii="Times New Roman" w:hAnsi="Times New Roman" w:cs="Times New Roman"/>
          <w:sz w:val="18"/>
          <w:szCs w:val="18"/>
        </w:rPr>
      </w:pPr>
      <w:r w:rsidRPr="00965A42">
        <w:rPr>
          <w:rFonts w:ascii="Times New Roman" w:hAnsi="Times New Roman" w:cs="Times New Roman"/>
          <w:sz w:val="18"/>
          <w:szCs w:val="18"/>
        </w:rPr>
        <w:t>Some regulations otherwise expand or limit the participation of local owners, as where notice may be required for "anyone whose property is within 200 feet of any point of the parcel under consideration." Another expansive definition would include those whose properties are across a public way or flowing waterway, where the parcels do not actually touch. Contrarily, regulations may define "abutter" to include only those people who hold record title to an adjacent parcel, thus undermining the rights of tenants, associations and partial owners</w:t>
      </w:r>
      <w:r w:rsidR="00965A42"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e.g., mineral rights and easement owners to be notified, let alone heard on a proposal. This would also eliminate participation of owners of unrecorded </w:t>
      </w:r>
      <w:proofErr w:type="gramStart"/>
      <w:r w:rsidRPr="00965A42">
        <w:rPr>
          <w:rFonts w:ascii="Times New Roman" w:hAnsi="Times New Roman" w:cs="Times New Roman"/>
          <w:sz w:val="18"/>
          <w:szCs w:val="18"/>
        </w:rPr>
        <w:t>title</w:t>
      </w:r>
      <w:proofErr w:type="gramEnd"/>
      <w:r w:rsidRPr="00965A42">
        <w:rPr>
          <w:rFonts w:ascii="Times New Roman" w:hAnsi="Times New Roman" w:cs="Times New Roman"/>
          <w:sz w:val="18"/>
          <w:szCs w:val="18"/>
        </w:rPr>
        <w:t>, such as adverse possession or those who have simply failed to record a deed or settle an estate involving the adjacent property.</w:t>
      </w:r>
    </w:p>
    <w:p w14:paraId="7863F5C6" w14:textId="51543621" w:rsidR="00DA2889" w:rsidRPr="00832474" w:rsidRDefault="00DA2889" w:rsidP="00534458">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Adverse possession does not typically work against property owned by the public</w:t>
      </w:r>
    </w:p>
    <w:p w14:paraId="2DD89994" w14:textId="5A028C0A"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The process of adverse possession would require a thorough analysis if private property </w:t>
      </w:r>
      <w:proofErr w:type="gramStart"/>
      <w:r w:rsidRPr="00832474">
        <w:rPr>
          <w:rFonts w:ascii="Times New Roman" w:hAnsi="Times New Roman" w:cs="Times New Roman"/>
          <w:sz w:val="18"/>
          <w:szCs w:val="18"/>
        </w:rPr>
        <w:t>is</w:t>
      </w:r>
      <w:proofErr w:type="gramEnd"/>
      <w:r w:rsidRPr="00832474">
        <w:rPr>
          <w:rFonts w:ascii="Times New Roman" w:hAnsi="Times New Roman" w:cs="Times New Roman"/>
          <w:sz w:val="18"/>
          <w:szCs w:val="18"/>
        </w:rPr>
        <w:t xml:space="preserve"> taken by eminent domain, after which control is given to a private corporation</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such as a railroad, and then abandoned.</w:t>
      </w:r>
    </w:p>
    <w:p w14:paraId="356060D9" w14:textId="5D2C5C50"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Where land is registered under a Torrens title registration system or similar, special rules apply. It may be that the land cannot be affected by adverse possession</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as was the case in England and Wales from 1875 to 1926, and as is still the case in the state of Minnesota</w:t>
      </w:r>
      <w:r w:rsidR="00534458" w:rsidRPr="00832474">
        <w:rPr>
          <w:rFonts w:ascii="Times New Roman" w:hAnsi="Times New Roman" w:cs="Times New Roman"/>
          <w:sz w:val="18"/>
          <w:szCs w:val="18"/>
        </w:rPr>
        <w:t>,</w:t>
      </w:r>
      <w:r w:rsidRPr="00832474">
        <w:rPr>
          <w:rFonts w:ascii="Times New Roman" w:hAnsi="Times New Roman" w:cs="Times New Roman"/>
          <w:sz w:val="18"/>
          <w:szCs w:val="18"/>
        </w:rPr>
        <w:t xml:space="preserve"> or that </w:t>
      </w:r>
      <w:r w:rsidRPr="00832474">
        <w:rPr>
          <w:rFonts w:ascii="Times New Roman" w:hAnsi="Times New Roman" w:cs="Times New Roman"/>
          <w:b/>
          <w:bCs/>
          <w:i/>
          <w:iCs/>
          <w:sz w:val="18"/>
          <w:szCs w:val="18"/>
        </w:rPr>
        <w:t>special rules apply</w:t>
      </w:r>
      <w:r w:rsidRPr="00832474">
        <w:rPr>
          <w:rFonts w:ascii="Times New Roman" w:hAnsi="Times New Roman" w:cs="Times New Roman"/>
          <w:sz w:val="18"/>
          <w:szCs w:val="18"/>
        </w:rPr>
        <w:t>.</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Adverse possession may also apply to territorial rights. In the United States, Georgia lost an island in the Savannah River to South Carolina in 1990, when South Carolina had used fill from dredging to attach the island to its own shore. Since Georgia knew of this yet did nothing about it, the U.S. Supreme Court</w:t>
      </w:r>
      <w:r w:rsidR="002D0DAD" w:rsidRPr="00832474">
        <w:rPr>
          <w:rFonts w:ascii="Times New Roman" w:hAnsi="Times New Roman" w:cs="Times New Roman"/>
          <w:sz w:val="18"/>
          <w:szCs w:val="18"/>
        </w:rPr>
        <w:t xml:space="preserve">, </w:t>
      </w:r>
      <w:r w:rsidRPr="00832474">
        <w:rPr>
          <w:rFonts w:ascii="Times New Roman" w:hAnsi="Times New Roman" w:cs="Times New Roman"/>
          <w:sz w:val="18"/>
          <w:szCs w:val="18"/>
        </w:rPr>
        <w:t>which has original jurisdiction in such matters granted this land to South Carolina, although the Treaty of Beaufort (1787) explicitly specified that the river's islands belonged to Georgia.</w:t>
      </w:r>
      <w:r w:rsidR="00B771AC" w:rsidRPr="00832474">
        <w:rPr>
          <w:rFonts w:ascii="Times New Roman" w:hAnsi="Times New Roman" w:cs="Times New Roman"/>
          <w:sz w:val="18"/>
          <w:szCs w:val="18"/>
        </w:rPr>
        <w:t xml:space="preserve"> </w:t>
      </w:r>
    </w:p>
    <w:p w14:paraId="4D703C1F" w14:textId="187143C9" w:rsidR="00DA2889" w:rsidRPr="00B771AC" w:rsidRDefault="00DA2889" w:rsidP="00B771AC">
      <w:pPr>
        <w:jc w:val="center"/>
        <w:rPr>
          <w:rFonts w:ascii="Times New Roman" w:hAnsi="Times New Roman" w:cs="Times New Roman"/>
          <w:sz w:val="20"/>
          <w:szCs w:val="20"/>
        </w:rPr>
      </w:pPr>
      <w:r w:rsidRPr="00B771AC">
        <w:rPr>
          <w:rFonts w:ascii="Times New Roman" w:hAnsi="Times New Roman" w:cs="Times New Roman"/>
          <w:b/>
          <w:bCs/>
          <w:sz w:val="20"/>
          <w:szCs w:val="20"/>
        </w:rPr>
        <w:t>Louisiana</w:t>
      </w:r>
    </w:p>
    <w:p w14:paraId="65BF628D" w14:textId="4915AC40"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Louisiana, which is a civil law state, adopts the legal doctrine of acquisitive prescription. It is derived from French law and governs the right of a person to gain possession of immovable property (a home). Pursuant to Civil Code Article 742, there are two ways that a squatter can gain possession of an immovable property: (1) peaceable and uninterrupted possession... for ten years in good faith and by just title; [or] (2) uninterrupted possession for thirty years without title or good faith.</w:t>
      </w:r>
      <w:r w:rsidR="00B771AC" w:rsidRPr="00832474">
        <w:rPr>
          <w:rFonts w:ascii="Times New Roman" w:hAnsi="Times New Roman" w:cs="Times New Roman"/>
          <w:sz w:val="18"/>
          <w:szCs w:val="18"/>
        </w:rPr>
        <w:t xml:space="preserve"> </w:t>
      </w:r>
    </w:p>
    <w:p w14:paraId="7A34ADA3" w14:textId="2CA0642D" w:rsidR="00DA2889" w:rsidRPr="00832474" w:rsidRDefault="00DA2889" w:rsidP="00B771AC">
      <w:pPr>
        <w:jc w:val="center"/>
        <w:rPr>
          <w:rFonts w:ascii="Times New Roman" w:hAnsi="Times New Roman" w:cs="Times New Roman"/>
          <w:b/>
          <w:bCs/>
          <w:sz w:val="18"/>
          <w:szCs w:val="18"/>
        </w:rPr>
      </w:pPr>
      <w:r w:rsidRPr="00832474">
        <w:rPr>
          <w:rFonts w:ascii="Times New Roman" w:hAnsi="Times New Roman" w:cs="Times New Roman"/>
          <w:b/>
          <w:bCs/>
          <w:sz w:val="18"/>
          <w:szCs w:val="18"/>
        </w:rPr>
        <w:t>Squatter's rights</w:t>
      </w:r>
    </w:p>
    <w:p w14:paraId="51F62E11" w14:textId="40CF3414"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Most cases of adverse possession deal with boundary line disputes between two parties who hold clear title to their property. The term "squatter's rights" has no precise and fixed legal meaning. In some jurisdictions the term refers to temporary rights available to squatters that prevent them, in some circumstances, from being removed from property without due process. For example, in England and Wales reference is usually to section 6 of the Criminal Law Act 1977. In the United States, no ownership rights are created by mere possession, and a squatter may only take possession through adverse possession if the squatter can prove all elements of an adverse possession claim for the jurisdiction in which the property is located.</w:t>
      </w:r>
      <w:r w:rsidR="00B771AC" w:rsidRPr="00832474">
        <w:rPr>
          <w:rFonts w:ascii="Times New Roman" w:hAnsi="Times New Roman" w:cs="Times New Roman"/>
          <w:sz w:val="18"/>
          <w:szCs w:val="18"/>
        </w:rPr>
        <w:t xml:space="preserve"> </w:t>
      </w:r>
    </w:p>
    <w:p w14:paraId="6C5212B9" w14:textId="481D617A"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As with any adverse possession claim, if a squatter abandons the property for a period, or if the rightful owner effectively removes the squatter's access even temporarily during the statutory period, or gives their permission, the "clock" usually stops For example, if the required period in a given jurisdiction is twenty years and the squatter is removed after only 15 years, the squatter loses the benefit of that 15-year possession (i.e., the clock is reset at zero). If that squatter later retakes possession of the property, that squatter must, to acquire title, remain on the property for a full 20 years after the date on which the squatter retook possession. In </w:t>
      </w:r>
      <w:r w:rsidRPr="00832474">
        <w:rPr>
          <w:rFonts w:ascii="Times New Roman" w:hAnsi="Times New Roman" w:cs="Times New Roman"/>
          <w:sz w:val="18"/>
          <w:szCs w:val="18"/>
        </w:rPr>
        <w:lastRenderedPageBreak/>
        <w:t>this example, the squatter would have held the property for 35 years</w:t>
      </w:r>
      <w:r w:rsidR="00534458" w:rsidRPr="00832474">
        <w:rPr>
          <w:rFonts w:ascii="Times New Roman" w:hAnsi="Times New Roman" w:cs="Times New Roman"/>
          <w:sz w:val="18"/>
          <w:szCs w:val="18"/>
        </w:rPr>
        <w:t xml:space="preserve">, comprising </w:t>
      </w:r>
      <w:r w:rsidRPr="00832474">
        <w:rPr>
          <w:rFonts w:ascii="Times New Roman" w:hAnsi="Times New Roman" w:cs="Times New Roman"/>
          <w:sz w:val="18"/>
          <w:szCs w:val="18"/>
        </w:rPr>
        <w:t>the original 15 years plus the later 20 years</w:t>
      </w:r>
      <w:r w:rsidR="00534458" w:rsidRPr="00832474">
        <w:rPr>
          <w:rFonts w:ascii="Times New Roman" w:hAnsi="Times New Roman" w:cs="Times New Roman"/>
          <w:sz w:val="18"/>
          <w:szCs w:val="18"/>
        </w:rPr>
        <w:t>,</w:t>
      </w:r>
      <w:r w:rsidRPr="00832474">
        <w:rPr>
          <w:rFonts w:ascii="Times New Roman" w:hAnsi="Times New Roman" w:cs="Times New Roman"/>
          <w:sz w:val="18"/>
          <w:szCs w:val="18"/>
        </w:rPr>
        <w:t xml:space="preserve"> to acquire title.</w:t>
      </w:r>
    </w:p>
    <w:p w14:paraId="23A5272A" w14:textId="69A4423F"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Depending on the jurisdiction, one squatter may or may not pass along continuous possession to another squatter, known as "tacking". Tacking is defined as "The joining of consecutive periods of possession by different </w:t>
      </w:r>
      <w:proofErr w:type="gramStart"/>
      <w:r w:rsidRPr="00832474">
        <w:rPr>
          <w:rFonts w:ascii="Times New Roman" w:hAnsi="Times New Roman" w:cs="Times New Roman"/>
          <w:sz w:val="18"/>
          <w:szCs w:val="18"/>
        </w:rPr>
        <w:t>persons</w:t>
      </w:r>
      <w:proofErr w:type="gramEnd"/>
      <w:r w:rsidRPr="00832474">
        <w:rPr>
          <w:rFonts w:ascii="Times New Roman" w:hAnsi="Times New Roman" w:cs="Times New Roman"/>
          <w:sz w:val="18"/>
          <w:szCs w:val="18"/>
        </w:rPr>
        <w:t xml:space="preserve"> to treat the periods as one continuous period; esp., the adding of one's own period of land possession to that of a prior possessor to establish continuous adverse possession for the statutory period." There are three types of Privity: Privity of Contract; Privity of Possession; and Privity of Estate. One of the three types of privity is required </w:t>
      </w:r>
      <w:proofErr w:type="gramStart"/>
      <w:r w:rsidRPr="00832474">
        <w:rPr>
          <w:rFonts w:ascii="Times New Roman" w:hAnsi="Times New Roman" w:cs="Times New Roman"/>
          <w:sz w:val="18"/>
          <w:szCs w:val="18"/>
        </w:rPr>
        <w:t>in order for</w:t>
      </w:r>
      <w:proofErr w:type="gramEnd"/>
      <w:r w:rsidRPr="00832474">
        <w:rPr>
          <w:rFonts w:ascii="Times New Roman" w:hAnsi="Times New Roman" w:cs="Times New Roman"/>
          <w:sz w:val="18"/>
          <w:szCs w:val="18"/>
        </w:rPr>
        <w:t xml:space="preserve"> one adverse possessor to "tack" their time onto another adverse possessor </w:t>
      </w:r>
      <w:proofErr w:type="gramStart"/>
      <w:r w:rsidRPr="00832474">
        <w:rPr>
          <w:rFonts w:ascii="Times New Roman" w:hAnsi="Times New Roman" w:cs="Times New Roman"/>
          <w:sz w:val="18"/>
          <w:szCs w:val="18"/>
        </w:rPr>
        <w:t>in order to</w:t>
      </w:r>
      <w:proofErr w:type="gramEnd"/>
      <w:r w:rsidRPr="00832474">
        <w:rPr>
          <w:rFonts w:ascii="Times New Roman" w:hAnsi="Times New Roman" w:cs="Times New Roman"/>
          <w:sz w:val="18"/>
          <w:szCs w:val="18"/>
        </w:rPr>
        <w:t xml:space="preserve"> complete the statutory </w:t>
      </w:r>
      <w:proofErr w:type="gramStart"/>
      <w:r w:rsidRPr="00832474">
        <w:rPr>
          <w:rFonts w:ascii="Times New Roman" w:hAnsi="Times New Roman" w:cs="Times New Roman"/>
          <w:sz w:val="18"/>
          <w:szCs w:val="18"/>
        </w:rPr>
        <w:t>time period</w:t>
      </w:r>
      <w:proofErr w:type="gramEnd"/>
      <w:r w:rsidRPr="00832474">
        <w:rPr>
          <w:rFonts w:ascii="Times New Roman" w:hAnsi="Times New Roman" w:cs="Times New Roman"/>
          <w:sz w:val="18"/>
          <w:szCs w:val="18"/>
        </w:rPr>
        <w:t xml:space="preserve">. One way </w:t>
      </w:r>
      <w:proofErr w:type="gramStart"/>
      <w:r w:rsidRPr="00832474">
        <w:rPr>
          <w:rFonts w:ascii="Times New Roman" w:hAnsi="Times New Roman" w:cs="Times New Roman"/>
          <w:sz w:val="18"/>
          <w:szCs w:val="18"/>
        </w:rPr>
        <w:t>tacking</w:t>
      </w:r>
      <w:proofErr w:type="gramEnd"/>
      <w:r w:rsidRPr="00832474">
        <w:rPr>
          <w:rFonts w:ascii="Times New Roman" w:hAnsi="Times New Roman" w:cs="Times New Roman"/>
          <w:sz w:val="18"/>
          <w:szCs w:val="18"/>
        </w:rPr>
        <w:t xml:space="preserve"> occurs is when the conveyance of the property from one adverse possessor to another is founded upon a written document (usually an erroneous deed), indicating "color of title." A lawful owner may also restart the clock at zero by giving temporary permission for the occupation of the property, thus defeating the necessary "continuous and hostile" element. Evidence that a squatter paid rent to the owner would defeat adverse possession for that period.</w:t>
      </w:r>
    </w:p>
    <w:p w14:paraId="11DC35BA" w14:textId="77777777" w:rsidR="00DA2889" w:rsidRPr="00832474" w:rsidRDefault="00DA2889" w:rsidP="00B771AC">
      <w:pPr>
        <w:jc w:val="center"/>
        <w:rPr>
          <w:rFonts w:ascii="Times New Roman" w:hAnsi="Times New Roman" w:cs="Times New Roman"/>
          <w:b/>
          <w:bCs/>
          <w:sz w:val="18"/>
          <w:szCs w:val="18"/>
        </w:rPr>
      </w:pPr>
      <w:r w:rsidRPr="00832474">
        <w:rPr>
          <w:rFonts w:ascii="Times New Roman" w:hAnsi="Times New Roman" w:cs="Times New Roman"/>
          <w:b/>
          <w:bCs/>
          <w:sz w:val="18"/>
          <w:szCs w:val="18"/>
        </w:rPr>
        <w:t>England and Wales</w:t>
      </w:r>
    </w:p>
    <w:p w14:paraId="4805CE47" w14:textId="62BF8121"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Although "squatting" is a criminal offence in England and Wales under Section 144 of the Legal Aid, Sentencing and Punishment of Offenders Act 2012 (LASPO),</w:t>
      </w:r>
      <w:r w:rsidR="00B771AC" w:rsidRPr="00832474">
        <w:rPr>
          <w:rFonts w:ascii="Times New Roman" w:hAnsi="Times New Roman" w:cs="Times New Roman"/>
          <w:sz w:val="18"/>
          <w:szCs w:val="18"/>
        </w:rPr>
        <w:t xml:space="preserve"> </w:t>
      </w:r>
      <w:r w:rsidRPr="00832474">
        <w:rPr>
          <w:rFonts w:ascii="Times New Roman" w:hAnsi="Times New Roman" w:cs="Times New Roman"/>
          <w:sz w:val="18"/>
          <w:szCs w:val="18"/>
        </w:rPr>
        <w:t>the Court of Appeal has clarified that Section 144 will not bar a person who wants to claim adverse possession, based on the rule of </w:t>
      </w:r>
      <w:r w:rsidRPr="00832474">
        <w:rPr>
          <w:rFonts w:ascii="Times New Roman" w:hAnsi="Times New Roman" w:cs="Times New Roman"/>
          <w:i/>
          <w:iCs/>
          <w:sz w:val="18"/>
          <w:szCs w:val="18"/>
        </w:rPr>
        <w:t xml:space="preserve">ex </w:t>
      </w:r>
      <w:proofErr w:type="spellStart"/>
      <w:r w:rsidRPr="00832474">
        <w:rPr>
          <w:rFonts w:ascii="Times New Roman" w:hAnsi="Times New Roman" w:cs="Times New Roman"/>
          <w:i/>
          <w:iCs/>
          <w:sz w:val="18"/>
          <w:szCs w:val="18"/>
        </w:rPr>
        <w:t>turpi</w:t>
      </w:r>
      <w:proofErr w:type="spellEnd"/>
      <w:r w:rsidRPr="00832474">
        <w:rPr>
          <w:rFonts w:ascii="Times New Roman" w:hAnsi="Times New Roman" w:cs="Times New Roman"/>
          <w:i/>
          <w:iCs/>
          <w:sz w:val="18"/>
          <w:szCs w:val="18"/>
        </w:rPr>
        <w:t xml:space="preserve"> causa</w:t>
      </w:r>
      <w:r w:rsidRPr="00832474">
        <w:rPr>
          <w:rFonts w:ascii="Times New Roman" w:hAnsi="Times New Roman" w:cs="Times New Roman"/>
          <w:sz w:val="18"/>
          <w:szCs w:val="18"/>
        </w:rPr>
        <w:t>, from relying on illegal squatting as an act demonstrating possession of the property.</w:t>
      </w:r>
      <w:r w:rsidR="00B771AC" w:rsidRPr="00832474">
        <w:rPr>
          <w:rFonts w:ascii="Times New Roman" w:hAnsi="Times New Roman" w:cs="Times New Roman"/>
          <w:sz w:val="18"/>
          <w:szCs w:val="18"/>
        </w:rPr>
        <w:t xml:space="preserve"> </w:t>
      </w:r>
    </w:p>
    <w:p w14:paraId="75BB0CB6" w14:textId="71661FFF"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Section 17 of the Limitation Act 1980 means the old title holder's estate will be extinguished and a new one will be created for the successful squatter. This section also inserted an immediate power of </w:t>
      </w:r>
      <w:proofErr w:type="gramStart"/>
      <w:r w:rsidRPr="00832474">
        <w:rPr>
          <w:rFonts w:ascii="Times New Roman" w:hAnsi="Times New Roman" w:cs="Times New Roman"/>
          <w:sz w:val="18"/>
          <w:szCs w:val="18"/>
        </w:rPr>
        <w:t>entry to the premises</w:t>
      </w:r>
      <w:proofErr w:type="gramEnd"/>
      <w:r w:rsidRPr="00832474">
        <w:rPr>
          <w:rFonts w:ascii="Times New Roman" w:hAnsi="Times New Roman" w:cs="Times New Roman"/>
          <w:sz w:val="18"/>
          <w:szCs w:val="18"/>
        </w:rPr>
        <w:t xml:space="preserve"> into Section 17 of the Police and Criminal Evidence Act 1984.</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Finally, schedule 6 (para 7) of the Land Registration Act 2002 allows the successful adverse possessor to be registered as the new proprietor.</w:t>
      </w:r>
      <w:r w:rsidR="00B771AC" w:rsidRPr="00832474">
        <w:rPr>
          <w:rFonts w:ascii="Times New Roman" w:hAnsi="Times New Roman" w:cs="Times New Roman"/>
          <w:sz w:val="18"/>
          <w:szCs w:val="18"/>
        </w:rPr>
        <w:t xml:space="preserve"> </w:t>
      </w:r>
    </w:p>
    <w:p w14:paraId="4818D138" w14:textId="77777777" w:rsidR="00881846" w:rsidRDefault="00881846" w:rsidP="00534458">
      <w:pPr>
        <w:jc w:val="center"/>
        <w:rPr>
          <w:rFonts w:ascii="Times New Roman" w:hAnsi="Times New Roman" w:cs="Times New Roman"/>
          <w:b/>
          <w:bCs/>
          <w:sz w:val="18"/>
          <w:szCs w:val="18"/>
        </w:rPr>
      </w:pPr>
    </w:p>
    <w:p w14:paraId="23E3A039" w14:textId="6F4513E3" w:rsidR="00DA2889" w:rsidRPr="00832474" w:rsidRDefault="00DA2889" w:rsidP="00534458">
      <w:pPr>
        <w:jc w:val="center"/>
        <w:rPr>
          <w:rFonts w:ascii="Times New Roman" w:hAnsi="Times New Roman" w:cs="Times New Roman"/>
          <w:b/>
          <w:bCs/>
          <w:sz w:val="18"/>
          <w:szCs w:val="18"/>
        </w:rPr>
      </w:pPr>
      <w:r w:rsidRPr="00832474">
        <w:rPr>
          <w:rFonts w:ascii="Times New Roman" w:hAnsi="Times New Roman" w:cs="Times New Roman"/>
          <w:b/>
          <w:bCs/>
          <w:sz w:val="18"/>
          <w:szCs w:val="18"/>
        </w:rPr>
        <w:t>Theory and scholarship</w:t>
      </w:r>
    </w:p>
    <w:p w14:paraId="6E867928" w14:textId="77777777" w:rsidR="00DA2889" w:rsidRPr="00832474" w:rsidRDefault="00DA2889" w:rsidP="00B771AC">
      <w:pPr>
        <w:jc w:val="both"/>
        <w:rPr>
          <w:rFonts w:ascii="Times New Roman" w:hAnsi="Times New Roman" w:cs="Times New Roman"/>
          <w:b/>
          <w:bCs/>
          <w:sz w:val="18"/>
          <w:szCs w:val="18"/>
        </w:rPr>
      </w:pPr>
      <w:r w:rsidRPr="00832474">
        <w:rPr>
          <w:rFonts w:ascii="Times New Roman" w:hAnsi="Times New Roman" w:cs="Times New Roman"/>
          <w:b/>
          <w:bCs/>
          <w:sz w:val="18"/>
          <w:szCs w:val="18"/>
        </w:rPr>
        <w:t>Utilitarianism</w:t>
      </w:r>
    </w:p>
    <w:p w14:paraId="08CE24FF" w14:textId="267557ED" w:rsidR="00534458"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Scholars have identified four utilitarian policies which justify adverse possession.</w:t>
      </w:r>
      <w:r w:rsidR="00534458" w:rsidRPr="00832474">
        <w:rPr>
          <w:rFonts w:ascii="Times New Roman" w:hAnsi="Times New Roman" w:cs="Times New Roman"/>
          <w:sz w:val="18"/>
          <w:szCs w:val="18"/>
        </w:rPr>
        <w:t xml:space="preserve"> </w:t>
      </w:r>
    </w:p>
    <w:p w14:paraId="13F31B91" w14:textId="61E20F6A"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first is that it exists to cure potential or actual defects in real estate titles by putting a statute of limitations on possible litigation over ownership and possession. Because of the doctrine of adverse possession, a landowner can be secure in title to their land. Otherwise, long-lost heirs of any former owner, possessor or lien holder of centuries past could come forward with a legal claim on the property.</w:t>
      </w:r>
    </w:p>
    <w:p w14:paraId="54471414" w14:textId="77777777" w:rsidR="00534458" w:rsidRPr="00E83929" w:rsidRDefault="00534458" w:rsidP="00534458">
      <w:pPr>
        <w:pStyle w:val="ListParagraph"/>
        <w:jc w:val="both"/>
        <w:rPr>
          <w:rFonts w:ascii="Times New Roman" w:hAnsi="Times New Roman" w:cs="Times New Roman"/>
          <w:sz w:val="8"/>
          <w:szCs w:val="8"/>
        </w:rPr>
      </w:pPr>
    </w:p>
    <w:p w14:paraId="70755341" w14:textId="77777777"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 xml:space="preserve">The second theory is that adverse possession is "a useful method for curing minor title defects". For example, someone may have had the intention to sell </w:t>
      </w:r>
      <w:proofErr w:type="gramStart"/>
      <w:r w:rsidRPr="00832474">
        <w:rPr>
          <w:rFonts w:ascii="Times New Roman" w:hAnsi="Times New Roman" w:cs="Times New Roman"/>
          <w:sz w:val="18"/>
          <w:szCs w:val="18"/>
        </w:rPr>
        <w:t>all of</w:t>
      </w:r>
      <w:proofErr w:type="gramEnd"/>
      <w:r w:rsidRPr="00832474">
        <w:rPr>
          <w:rFonts w:ascii="Times New Roman" w:hAnsi="Times New Roman" w:cs="Times New Roman"/>
          <w:sz w:val="18"/>
          <w:szCs w:val="18"/>
        </w:rPr>
        <w:t xml:space="preserve"> a parcel of land but mistakenly excluded a portion of it on the title. Thus, adverse possession allows the purchaser of the land to maintain ownership of the parcel which they believed was theirs from the impressions given by the seller.</w:t>
      </w:r>
    </w:p>
    <w:p w14:paraId="557C619E" w14:textId="77777777" w:rsidR="00534458" w:rsidRPr="00E83929" w:rsidRDefault="00534458" w:rsidP="00534458">
      <w:pPr>
        <w:pStyle w:val="ListParagraph"/>
        <w:rPr>
          <w:rFonts w:ascii="Times New Roman" w:hAnsi="Times New Roman" w:cs="Times New Roman"/>
          <w:sz w:val="8"/>
          <w:szCs w:val="8"/>
        </w:rPr>
      </w:pPr>
    </w:p>
    <w:p w14:paraId="6007CCB0" w14:textId="77777777"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third theory is that adverse possession encourages and rewards productive use of land. Essentially, "by vesting title in the industrious settler—rather than the absentee landowner—adverse possession promote[s] rapid development".</w:t>
      </w:r>
    </w:p>
    <w:p w14:paraId="18AE1966" w14:textId="77777777" w:rsidR="00534458" w:rsidRPr="00832474" w:rsidRDefault="00534458" w:rsidP="00534458">
      <w:pPr>
        <w:pStyle w:val="ListParagraph"/>
        <w:rPr>
          <w:rFonts w:ascii="Times New Roman" w:hAnsi="Times New Roman" w:cs="Times New Roman"/>
          <w:sz w:val="18"/>
          <w:szCs w:val="18"/>
        </w:rPr>
      </w:pPr>
    </w:p>
    <w:p w14:paraId="26446151" w14:textId="2CD48F09"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fourth theory is that the adverse possessor places a high personal value on the land while the real title holder has effectively abandoned it, thus on principles of personhood and efficiency it makes sense to allow the change in title.</w:t>
      </w:r>
      <w:r w:rsidR="00B771AC" w:rsidRPr="00832474">
        <w:rPr>
          <w:rFonts w:ascii="Times New Roman" w:hAnsi="Times New Roman" w:cs="Times New Roman"/>
          <w:sz w:val="18"/>
          <w:szCs w:val="18"/>
        </w:rPr>
        <w:t xml:space="preserve"> </w:t>
      </w:r>
    </w:p>
    <w:p w14:paraId="2856310D" w14:textId="77777777" w:rsidR="00DA2889" w:rsidRPr="00832474" w:rsidRDefault="00DA2889" w:rsidP="00534458">
      <w:pPr>
        <w:jc w:val="center"/>
        <w:rPr>
          <w:rFonts w:ascii="Times New Roman" w:hAnsi="Times New Roman" w:cs="Times New Roman"/>
          <w:b/>
          <w:bCs/>
          <w:sz w:val="18"/>
          <w:szCs w:val="18"/>
        </w:rPr>
      </w:pPr>
      <w:r w:rsidRPr="00832474">
        <w:rPr>
          <w:rFonts w:ascii="Times New Roman" w:hAnsi="Times New Roman" w:cs="Times New Roman"/>
          <w:b/>
          <w:bCs/>
          <w:sz w:val="18"/>
          <w:szCs w:val="18"/>
        </w:rPr>
        <w:t>Copyright scholarship</w:t>
      </w:r>
    </w:p>
    <w:p w14:paraId="0DA48449" w14:textId="5CDA0296"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Some legal scholars have proposed the extension of the concept of adverse possession to intellectual property law, </w:t>
      </w:r>
      <w:proofErr w:type="gramStart"/>
      <w:r w:rsidRPr="00832474">
        <w:rPr>
          <w:rFonts w:ascii="Times New Roman" w:hAnsi="Times New Roman" w:cs="Times New Roman"/>
          <w:sz w:val="18"/>
          <w:szCs w:val="18"/>
        </w:rPr>
        <w:t>in particular to</w:t>
      </w:r>
      <w:proofErr w:type="gramEnd"/>
      <w:r w:rsidRPr="00832474">
        <w:rPr>
          <w:rFonts w:ascii="Times New Roman" w:hAnsi="Times New Roman" w:cs="Times New Roman"/>
          <w:sz w:val="18"/>
          <w:szCs w:val="18"/>
        </w:rPr>
        <w:t xml:space="preserve"> reconcile intellectual property and antitrust law or to unify copyright law and property law.</w:t>
      </w:r>
      <w:r w:rsidR="00B771AC" w:rsidRPr="00832474">
        <w:rPr>
          <w:rFonts w:ascii="Times New Roman" w:hAnsi="Times New Roman" w:cs="Times New Roman"/>
          <w:sz w:val="18"/>
          <w:szCs w:val="18"/>
        </w:rPr>
        <w:t xml:space="preserve"> </w:t>
      </w:r>
    </w:p>
    <w:p w14:paraId="45CDB3C9" w14:textId="77777777" w:rsidR="002D0DAD" w:rsidRPr="00832474" w:rsidRDefault="002D0DAD" w:rsidP="002D0DAD">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lang w:val="en"/>
        </w:rPr>
        <w:t>Fiat money or Fiat currency</w:t>
      </w:r>
    </w:p>
    <w:p w14:paraId="7F770C98" w14:textId="4AD14E6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b/>
          <w:bCs/>
          <w:sz w:val="18"/>
          <w:szCs w:val="18"/>
        </w:rPr>
        <w:t xml:space="preserve">Note: </w:t>
      </w:r>
      <w:r w:rsidRPr="00832474">
        <w:rPr>
          <w:rFonts w:ascii="Times New Roman" w:hAnsi="Times New Roman" w:cs="Times New Roman"/>
          <w:i/>
          <w:iCs/>
          <w:sz w:val="18"/>
          <w:szCs w:val="18"/>
          <w:lang w:val="la-Latn"/>
        </w:rPr>
        <w:t>Fīat</w:t>
      </w:r>
      <w:r w:rsidRPr="00832474">
        <w:rPr>
          <w:rFonts w:ascii="Times New Roman" w:hAnsi="Times New Roman" w:cs="Times New Roman"/>
          <w:sz w:val="18"/>
          <w:szCs w:val="18"/>
        </w:rPr>
        <w:t xml:space="preserve"> is the third-person singular present active subjunctive of </w:t>
      </w:r>
      <w:r w:rsidRPr="00832474">
        <w:rPr>
          <w:rFonts w:ascii="Times New Roman" w:hAnsi="Times New Roman" w:cs="Times New Roman"/>
          <w:i/>
          <w:iCs/>
          <w:sz w:val="18"/>
          <w:szCs w:val="18"/>
          <w:lang w:val="la-Latn"/>
        </w:rPr>
        <w:t>fiō</w:t>
      </w:r>
      <w:r w:rsidRPr="00832474">
        <w:rPr>
          <w:rFonts w:ascii="Times New Roman" w:hAnsi="Times New Roman" w:cs="Times New Roman"/>
          <w:sz w:val="18"/>
          <w:szCs w:val="18"/>
        </w:rPr>
        <w:t xml:space="preserve"> meaning "I become", "I am made". Historically, the term </w:t>
      </w:r>
      <w:r w:rsidRPr="00832474">
        <w:rPr>
          <w:rFonts w:ascii="Times New Roman" w:hAnsi="Times New Roman" w:cs="Times New Roman"/>
          <w:i/>
          <w:iCs/>
          <w:sz w:val="18"/>
          <w:szCs w:val="18"/>
          <w:lang w:val="la-Latn"/>
        </w:rPr>
        <w:t>fiat</w:t>
      </w:r>
      <w:r w:rsidRPr="00832474">
        <w:rPr>
          <w:rFonts w:ascii="Times New Roman" w:hAnsi="Times New Roman" w:cs="Times New Roman"/>
          <w:sz w:val="18"/>
          <w:szCs w:val="18"/>
        </w:rPr>
        <w:t xml:space="preserve"> derives from Latin for "let [it] be done", used in the sense of an order, decree or resolution. </w:t>
      </w:r>
    </w:p>
    <w:p w14:paraId="152B169C" w14:textId="3A5FCA4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b/>
          <w:bCs/>
          <w:sz w:val="18"/>
          <w:szCs w:val="18"/>
        </w:rPr>
        <w:lastRenderedPageBreak/>
        <w:t>Fiat money</w:t>
      </w:r>
      <w:r w:rsidRPr="00832474">
        <w:rPr>
          <w:rFonts w:ascii="Times New Roman" w:hAnsi="Times New Roman" w:cs="Times New Roman"/>
          <w:sz w:val="18"/>
          <w:szCs w:val="18"/>
        </w:rPr>
        <w:t xml:space="preserve"> or </w:t>
      </w:r>
      <w:r w:rsidRPr="00832474">
        <w:rPr>
          <w:rFonts w:ascii="Times New Roman" w:hAnsi="Times New Roman" w:cs="Times New Roman"/>
          <w:b/>
          <w:bCs/>
          <w:sz w:val="18"/>
          <w:szCs w:val="18"/>
        </w:rPr>
        <w:t>fiat currency</w:t>
      </w:r>
      <w:r w:rsidRPr="00832474">
        <w:rPr>
          <w:rFonts w:ascii="Times New Roman" w:hAnsi="Times New Roman" w:cs="Times New Roman"/>
          <w:sz w:val="18"/>
          <w:szCs w:val="18"/>
        </w:rPr>
        <w:t xml:space="preserve"> is a type of government-issued currency, generally created by a </w:t>
      </w:r>
      <w:r w:rsidRPr="00832474">
        <w:rPr>
          <w:rFonts w:ascii="Times New Roman" w:hAnsi="Times New Roman" w:cs="Times New Roman"/>
          <w:b/>
          <w:bCs/>
          <w:i/>
          <w:iCs/>
          <w:sz w:val="18"/>
          <w:szCs w:val="18"/>
        </w:rPr>
        <w:t>central bank</w:t>
      </w:r>
      <w:r w:rsidRPr="00832474">
        <w:rPr>
          <w:rFonts w:ascii="Times New Roman" w:hAnsi="Times New Roman" w:cs="Times New Roman"/>
          <w:sz w:val="18"/>
          <w:szCs w:val="18"/>
        </w:rPr>
        <w:t xml:space="preserve">, authorized by government regulation to be </w:t>
      </w:r>
      <w:r w:rsidRPr="00832474">
        <w:rPr>
          <w:rFonts w:ascii="Times New Roman" w:hAnsi="Times New Roman" w:cs="Times New Roman"/>
          <w:i/>
          <w:iCs/>
          <w:sz w:val="18"/>
          <w:szCs w:val="18"/>
        </w:rPr>
        <w:t>legal tender</w:t>
      </w:r>
      <w:r w:rsidRPr="00832474">
        <w:rPr>
          <w:rFonts w:ascii="Times New Roman" w:hAnsi="Times New Roman" w:cs="Times New Roman"/>
          <w:sz w:val="18"/>
          <w:szCs w:val="18"/>
        </w:rPr>
        <w:t xml:space="preserve"> but not backed by a precious metal, such as gold or silver, nor by any other tangible asset or commodity. Government-issued fiat money banknotes were first used during the 13th century in China.</w:t>
      </w:r>
    </w:p>
    <w:p w14:paraId="310F2E0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Since the end of the Bretton Woods system in 1976 by the Jamaica Accords, all the major government currencies in the world are fiat money.</w:t>
      </w:r>
    </w:p>
    <w:p w14:paraId="2E655D5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Fiat money generally does not have intrinsic value nor a use value. It has value only because the “individuals” who use it as a unit of account or, in the case of currency, a medium of exchange agree on its value. </w:t>
      </w:r>
      <w:r w:rsidRPr="00832474">
        <w:rPr>
          <w:rFonts w:ascii="Times New Roman" w:hAnsi="Times New Roman" w:cs="Times New Roman"/>
          <w:b/>
          <w:bCs/>
          <w:i/>
          <w:iCs/>
          <w:sz w:val="18"/>
          <w:szCs w:val="18"/>
        </w:rPr>
        <w:t>They trust that it will be accepted by merchants and other people as a means of payment for liabilities</w:t>
      </w:r>
      <w:r w:rsidRPr="00832474">
        <w:rPr>
          <w:rFonts w:ascii="Times New Roman" w:hAnsi="Times New Roman" w:cs="Times New Roman"/>
          <w:sz w:val="18"/>
          <w:szCs w:val="18"/>
        </w:rPr>
        <w:t>. Austrian, monetarist, neoclassical and New Keynesian economists argue that an increase in the fiat money supply causes inflation while Keynesian, Post-Keynesian and modern monetary theory economists argue that an increase in money supply is insufficient to cause inflation, which is in alignment with the so-called ‘new math’, wherein a negative plus a negative equals a positive.</w:t>
      </w:r>
    </w:p>
    <w:p w14:paraId="01BBBA0A"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Fiat money is an alternative to commodity money, i.e., a currency that has intrinsic value because it contains, for example, a precious metal such as gold or silver which is embedded in the coin. Fiat also differs from </w:t>
      </w:r>
      <w:r w:rsidRPr="00832474">
        <w:rPr>
          <w:rFonts w:ascii="Times New Roman" w:hAnsi="Times New Roman" w:cs="Times New Roman"/>
          <w:b/>
          <w:bCs/>
          <w:i/>
          <w:iCs/>
          <w:sz w:val="18"/>
          <w:szCs w:val="18"/>
        </w:rPr>
        <w:t>representative money</w:t>
      </w:r>
      <w:r w:rsidRPr="00832474">
        <w:rPr>
          <w:rFonts w:ascii="Times New Roman" w:hAnsi="Times New Roman" w:cs="Times New Roman"/>
          <w:sz w:val="18"/>
          <w:szCs w:val="18"/>
        </w:rPr>
        <w:t xml:space="preserve">, i.e., money in the form of paper bills, that has intrinsic value because it is backed by and can be converted into a precious metal or another commodity. Fiat money can look </w:t>
      </w:r>
      <w:proofErr w:type="gramStart"/>
      <w:r w:rsidRPr="00832474">
        <w:rPr>
          <w:rFonts w:ascii="Times New Roman" w:hAnsi="Times New Roman" w:cs="Times New Roman"/>
          <w:sz w:val="18"/>
          <w:szCs w:val="18"/>
        </w:rPr>
        <w:t>similar to</w:t>
      </w:r>
      <w:proofErr w:type="gramEnd"/>
      <w:r w:rsidRPr="00832474">
        <w:rPr>
          <w:rFonts w:ascii="Times New Roman" w:hAnsi="Times New Roman" w:cs="Times New Roman"/>
          <w:sz w:val="18"/>
          <w:szCs w:val="18"/>
        </w:rPr>
        <w:t xml:space="preserve"> representative money, but the former has no backing, while the latter represents a claim on a commodity or a </w:t>
      </w:r>
      <w:r w:rsidRPr="00832474">
        <w:rPr>
          <w:rFonts w:ascii="Times New Roman" w:hAnsi="Times New Roman" w:cs="Times New Roman"/>
          <w:b/>
          <w:bCs/>
          <w:i/>
          <w:iCs/>
          <w:sz w:val="18"/>
          <w:szCs w:val="18"/>
        </w:rPr>
        <w:t>tradable investment</w:t>
      </w:r>
      <w:r w:rsidRPr="00832474">
        <w:rPr>
          <w:rFonts w:ascii="Times New Roman" w:hAnsi="Times New Roman" w:cs="Times New Roman"/>
          <w:sz w:val="18"/>
          <w:szCs w:val="18"/>
        </w:rPr>
        <w:t xml:space="preserve">, and is redeemable to a greater or lesser extent. </w:t>
      </w:r>
    </w:p>
    <w:p w14:paraId="19DCD1C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 system of national fiat currencies has been used globally, when fiat money started to predominate during the 20th century, after United States / US President Richard Nixon's </w:t>
      </w:r>
      <w:r w:rsidRPr="00832474">
        <w:rPr>
          <w:rFonts w:ascii="Times New Roman" w:hAnsi="Times New Roman" w:cs="Times New Roman"/>
          <w:b/>
          <w:bCs/>
          <w:i/>
          <w:iCs/>
          <w:sz w:val="18"/>
          <w:szCs w:val="18"/>
        </w:rPr>
        <w:t>suspended</w:t>
      </w:r>
      <w:r w:rsidRPr="00832474">
        <w:rPr>
          <w:rFonts w:ascii="Times New Roman" w:hAnsi="Times New Roman" w:cs="Times New Roman"/>
          <w:sz w:val="18"/>
          <w:szCs w:val="18"/>
        </w:rPr>
        <w:t xml:space="preserve"> the convertibility of the </w:t>
      </w:r>
      <w:r w:rsidRPr="00832474">
        <w:rPr>
          <w:rFonts w:ascii="Times New Roman" w:hAnsi="Times New Roman" w:cs="Times New Roman"/>
          <w:b/>
          <w:bCs/>
          <w:sz w:val="18"/>
          <w:szCs w:val="18"/>
        </w:rPr>
        <w:t>US dollar</w:t>
      </w:r>
      <w:r w:rsidRPr="00832474">
        <w:rPr>
          <w:rFonts w:ascii="Times New Roman" w:hAnsi="Times New Roman" w:cs="Times New Roman"/>
          <w:sz w:val="18"/>
          <w:szCs w:val="18"/>
        </w:rPr>
        <w:t xml:space="preserve"> to gold in 1971.</w:t>
      </w:r>
    </w:p>
    <w:p w14:paraId="47685EFD" w14:textId="77777777" w:rsidR="002D0DAD" w:rsidRPr="00832474" w:rsidRDefault="002D0DAD" w:rsidP="002D0DAD">
      <w:pPr>
        <w:jc w:val="both"/>
        <w:rPr>
          <w:rFonts w:ascii="Times New Roman" w:hAnsi="Times New Roman" w:cs="Times New Roman"/>
          <w:b/>
          <w:bCs/>
          <w:sz w:val="18"/>
          <w:szCs w:val="18"/>
        </w:rPr>
      </w:pPr>
      <w:r w:rsidRPr="00832474">
        <w:rPr>
          <w:rFonts w:ascii="Times New Roman" w:hAnsi="Times New Roman" w:cs="Times New Roman"/>
          <w:b/>
          <w:bCs/>
          <w:sz w:val="18"/>
          <w:szCs w:val="18"/>
        </w:rPr>
        <w:t>Fiat money can be:</w:t>
      </w:r>
    </w:p>
    <w:p w14:paraId="0A10FA63"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Money declared by a person, institution or government to be legal tender, meaning that it must be accepted in payment of a debt in specific circumstances. </w:t>
      </w:r>
    </w:p>
    <w:p w14:paraId="48625FB6"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State-issued money which is neither convertible through a central bank to anything else nor fixed in value in terms of any objective standard. </w:t>
      </w:r>
    </w:p>
    <w:p w14:paraId="00FEA85B"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Money used because of government decree. </w:t>
      </w:r>
    </w:p>
    <w:p w14:paraId="448D595D"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An otherwise non-valuable object that serves as a </w:t>
      </w:r>
      <w:r w:rsidRPr="00E83929">
        <w:rPr>
          <w:rFonts w:ascii="Times New Roman" w:hAnsi="Times New Roman" w:cs="Times New Roman"/>
          <w:b/>
          <w:bCs/>
          <w:sz w:val="18"/>
          <w:szCs w:val="18"/>
        </w:rPr>
        <w:t>medium of exchange</w:t>
      </w:r>
      <w:r w:rsidRPr="00E83929">
        <w:rPr>
          <w:rFonts w:ascii="Times New Roman" w:hAnsi="Times New Roman" w:cs="Times New Roman"/>
          <w:sz w:val="18"/>
          <w:szCs w:val="18"/>
        </w:rPr>
        <w:t xml:space="preserve">, also known as fiduciary money. </w:t>
      </w:r>
    </w:p>
    <w:p w14:paraId="03DB6C74"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Treatment in economics</w:t>
      </w:r>
    </w:p>
    <w:p w14:paraId="13DC4A93"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Most of the money in the economy is created, not by printing presses at the central bank, but by banks when they provide loans. [...] This also means as you pay off the loan, the electronic money your bank created is 'deleted' – it no longer exists. So essentially, banks create money, not wealth. </w:t>
      </w:r>
      <w:r w:rsidRPr="00832474">
        <w:rPr>
          <w:rFonts w:ascii="Times New Roman" w:hAnsi="Times New Roman" w:cs="Times New Roman"/>
          <w:i/>
          <w:iCs/>
          <w:sz w:val="18"/>
          <w:szCs w:val="18"/>
        </w:rPr>
        <w:t>— </w:t>
      </w:r>
      <w:r w:rsidRPr="00832474">
        <w:rPr>
          <w:rFonts w:ascii="Times New Roman" w:hAnsi="Times New Roman" w:cs="Times New Roman"/>
          <w:b/>
          <w:bCs/>
          <w:i/>
          <w:iCs/>
          <w:sz w:val="18"/>
          <w:szCs w:val="18"/>
        </w:rPr>
        <w:t>Bank of England</w:t>
      </w:r>
    </w:p>
    <w:p w14:paraId="0525B83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In monetary economics, fiat money is an intrinsically valueless object or record that is accepted widely as a means of payment. Accordingly, the value of fiat money is greater than the value of its metal or paper content.</w:t>
      </w:r>
    </w:p>
    <w:p w14:paraId="13196636" w14:textId="2414227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One justification for fiat money comes from a micro-founded model. In most economic models, agents are intrinsically happier when they have more money. In a model by Lagos and Wright, fiat money does not have an intrinsic </w:t>
      </w:r>
      <w:proofErr w:type="gramStart"/>
      <w:r w:rsidRPr="00832474">
        <w:rPr>
          <w:rFonts w:ascii="Times New Roman" w:hAnsi="Times New Roman" w:cs="Times New Roman"/>
          <w:sz w:val="18"/>
          <w:szCs w:val="18"/>
        </w:rPr>
        <w:t>worth</w:t>
      </w:r>
      <w:proofErr w:type="gramEnd"/>
      <w:r w:rsidRPr="00832474">
        <w:rPr>
          <w:rFonts w:ascii="Times New Roman" w:hAnsi="Times New Roman" w:cs="Times New Roman"/>
          <w:sz w:val="18"/>
          <w:szCs w:val="18"/>
        </w:rPr>
        <w:t xml:space="preserve"> but agents get more of the goods they want when they trade assuming fiat money is valuable. Fiat money's value is created internally by the community and, at equilibrium, makes otherwise infeasible trades possible. </w:t>
      </w:r>
    </w:p>
    <w:p w14:paraId="5072D0A0"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Objections to fiat money can be traced back to at least the 1700s. In 1787, George Washington wrote to Jabez Bowen, regarding the Rhode Island pound: </w:t>
      </w:r>
    </w:p>
    <w:p w14:paraId="5FBA6E01"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w:t>
      </w:r>
      <w:r w:rsidRPr="00832474">
        <w:rPr>
          <w:rFonts w:ascii="Times New Roman" w:hAnsi="Times New Roman" w:cs="Times New Roman"/>
          <w:b/>
          <w:bCs/>
          <w:i/>
          <w:iCs/>
          <w:sz w:val="18"/>
          <w:szCs w:val="18"/>
        </w:rPr>
        <w:t xml:space="preserve">Paper money has had the effect in your State that it ever will have, to ruin commerce—oppress the </w:t>
      </w:r>
      <w:proofErr w:type="gramStart"/>
      <w:r w:rsidRPr="00832474">
        <w:rPr>
          <w:rFonts w:ascii="Times New Roman" w:hAnsi="Times New Roman" w:cs="Times New Roman"/>
          <w:b/>
          <w:bCs/>
          <w:i/>
          <w:iCs/>
          <w:sz w:val="18"/>
          <w:szCs w:val="18"/>
        </w:rPr>
        <w:t>honest, and</w:t>
      </w:r>
      <w:proofErr w:type="gramEnd"/>
      <w:r w:rsidRPr="00832474">
        <w:rPr>
          <w:rFonts w:ascii="Times New Roman" w:hAnsi="Times New Roman" w:cs="Times New Roman"/>
          <w:b/>
          <w:bCs/>
          <w:i/>
          <w:iCs/>
          <w:sz w:val="18"/>
          <w:szCs w:val="18"/>
        </w:rPr>
        <w:t xml:space="preserve"> open a door to every species of fraud and injustice."</w:t>
      </w:r>
      <w:r w:rsidRPr="00832474">
        <w:rPr>
          <w:rFonts w:ascii="Times New Roman" w:hAnsi="Times New Roman" w:cs="Times New Roman"/>
          <w:sz w:val="18"/>
          <w:szCs w:val="18"/>
        </w:rPr>
        <w:t xml:space="preserve"> </w:t>
      </w:r>
    </w:p>
    <w:p w14:paraId="0E1AFB13"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the </w:t>
      </w:r>
      <w:r w:rsidRPr="00832474">
        <w:rPr>
          <w:rFonts w:ascii="Times New Roman" w:hAnsi="Times New Roman" w:cs="Times New Roman"/>
          <w:i/>
          <w:iCs/>
          <w:sz w:val="18"/>
          <w:szCs w:val="18"/>
        </w:rPr>
        <w:t>Grundrisse</w:t>
      </w:r>
      <w:r w:rsidRPr="00832474">
        <w:rPr>
          <w:rFonts w:ascii="Times New Roman" w:hAnsi="Times New Roman" w:cs="Times New Roman"/>
          <w:sz w:val="18"/>
          <w:szCs w:val="18"/>
        </w:rPr>
        <w:t xml:space="preserve"> (1857–58), Karl Marx considered the modern economic ramifications of a historical switch to fiat money from the gold or silver-commodity. Even Karl Marx wrote: </w:t>
      </w:r>
    </w:p>
    <w:p w14:paraId="3C1ED228"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w:t>
      </w:r>
      <w:r w:rsidRPr="00832474">
        <w:rPr>
          <w:rFonts w:ascii="Times New Roman" w:hAnsi="Times New Roman" w:cs="Times New Roman"/>
          <w:i/>
          <w:iCs/>
          <w:sz w:val="18"/>
          <w:szCs w:val="18"/>
        </w:rPr>
        <w:t xml:space="preserve">Suppose that the Bank of France did not rest on a metallic base, and that other countries were willing to accept the French currency or its capital in any form, not only in the specific form of the precious metals. Would the bank not have been equally forced to raise the terms of its discounting precisely </w:t>
      </w:r>
      <w:proofErr w:type="gramStart"/>
      <w:r w:rsidRPr="00832474">
        <w:rPr>
          <w:rFonts w:ascii="Times New Roman" w:hAnsi="Times New Roman" w:cs="Times New Roman"/>
          <w:i/>
          <w:iCs/>
          <w:sz w:val="18"/>
          <w:szCs w:val="18"/>
        </w:rPr>
        <w:t>at the moment</w:t>
      </w:r>
      <w:proofErr w:type="gramEnd"/>
      <w:r w:rsidRPr="00832474">
        <w:rPr>
          <w:rFonts w:ascii="Times New Roman" w:hAnsi="Times New Roman" w:cs="Times New Roman"/>
          <w:i/>
          <w:iCs/>
          <w:sz w:val="18"/>
          <w:szCs w:val="18"/>
        </w:rPr>
        <w:t xml:space="preserve"> when its "public" </w:t>
      </w:r>
      <w:proofErr w:type="spellStart"/>
      <w:r w:rsidRPr="00832474">
        <w:rPr>
          <w:rFonts w:ascii="Times New Roman" w:hAnsi="Times New Roman" w:cs="Times New Roman"/>
          <w:i/>
          <w:iCs/>
          <w:sz w:val="18"/>
          <w:szCs w:val="18"/>
        </w:rPr>
        <w:t>clamoured</w:t>
      </w:r>
      <w:proofErr w:type="spellEnd"/>
      <w:r w:rsidRPr="00832474">
        <w:rPr>
          <w:rFonts w:ascii="Times New Roman" w:hAnsi="Times New Roman" w:cs="Times New Roman"/>
          <w:i/>
          <w:iCs/>
          <w:sz w:val="18"/>
          <w:szCs w:val="18"/>
        </w:rPr>
        <w:t xml:space="preserve"> most eagerly </w:t>
      </w:r>
      <w:r w:rsidRPr="00832474">
        <w:rPr>
          <w:rFonts w:ascii="Times New Roman" w:hAnsi="Times New Roman" w:cs="Times New Roman"/>
          <w:i/>
          <w:iCs/>
          <w:sz w:val="18"/>
          <w:szCs w:val="18"/>
        </w:rPr>
        <w:lastRenderedPageBreak/>
        <w:t xml:space="preserve">for its services? The notes with which it discounts the bills of exchange of this public are at present nothing more than drafts on gold and silver. In our hypothetical case, </w:t>
      </w:r>
      <w:proofErr w:type="gramStart"/>
      <w:r w:rsidRPr="00832474">
        <w:rPr>
          <w:rFonts w:ascii="Times New Roman" w:hAnsi="Times New Roman" w:cs="Times New Roman"/>
          <w:i/>
          <w:iCs/>
          <w:sz w:val="18"/>
          <w:szCs w:val="18"/>
        </w:rPr>
        <w:t>they</w:t>
      </w:r>
      <w:proofErr w:type="gramEnd"/>
      <w:r w:rsidRPr="00832474">
        <w:rPr>
          <w:rFonts w:ascii="Times New Roman" w:hAnsi="Times New Roman" w:cs="Times New Roman"/>
          <w:i/>
          <w:iCs/>
          <w:sz w:val="18"/>
          <w:szCs w:val="18"/>
        </w:rPr>
        <w:t xml:space="preserve"> would be drafts on the nation's stock of products and on its directly employable </w:t>
      </w:r>
      <w:proofErr w:type="spellStart"/>
      <w:r w:rsidRPr="00832474">
        <w:rPr>
          <w:rFonts w:ascii="Times New Roman" w:hAnsi="Times New Roman" w:cs="Times New Roman"/>
          <w:i/>
          <w:iCs/>
          <w:sz w:val="18"/>
          <w:szCs w:val="18"/>
        </w:rPr>
        <w:t>labour</w:t>
      </w:r>
      <w:proofErr w:type="spellEnd"/>
      <w:r w:rsidRPr="00832474">
        <w:rPr>
          <w:rFonts w:ascii="Times New Roman" w:hAnsi="Times New Roman" w:cs="Times New Roman"/>
          <w:i/>
          <w:iCs/>
          <w:sz w:val="18"/>
          <w:szCs w:val="18"/>
        </w:rPr>
        <w:t xml:space="preserve"> force: the former is limited, the latter can be increased only within very positive limits, and in certain amounts of time. </w:t>
      </w:r>
      <w:r w:rsidRPr="00832474">
        <w:rPr>
          <w:rFonts w:ascii="Times New Roman" w:hAnsi="Times New Roman" w:cs="Times New Roman"/>
          <w:b/>
          <w:bCs/>
          <w:i/>
          <w:iCs/>
          <w:sz w:val="18"/>
          <w:szCs w:val="18"/>
        </w:rPr>
        <w:t>The printing press, on the other hand, is inexhaustible and works like a stroke of magic."</w:t>
      </w:r>
    </w:p>
    <w:p w14:paraId="05712299" w14:textId="79E6CF1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Commenting on the passage, Marxist economist and geographer </w:t>
      </w:r>
      <w:r w:rsidRPr="00E83929">
        <w:rPr>
          <w:rFonts w:ascii="Times New Roman" w:hAnsi="Times New Roman" w:cs="Times New Roman"/>
          <w:sz w:val="18"/>
          <w:szCs w:val="18"/>
        </w:rPr>
        <w:t>David Harvey</w:t>
      </w:r>
      <w:r w:rsidRPr="00832474">
        <w:rPr>
          <w:rFonts w:ascii="Times New Roman" w:hAnsi="Times New Roman" w:cs="Times New Roman"/>
          <w:sz w:val="18"/>
          <w:szCs w:val="18"/>
        </w:rPr>
        <w:t xml:space="preserve"> writes that:</w:t>
      </w:r>
    </w:p>
    <w:p w14:paraId="604907CB"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consequence, as Marx saw it, would be that "the directly exchangeable wealth of the nation" would be 'absolutely diminished' alongside of 'an unlimited increase of bank drafts', i.e., accelerating indebtedness), with the direct consequence of 'increase in the price of products, raw materials and labor' causing inflation, alongside a 'decrease in price of bank drafts', resulting in an ever-falling or decreasing rates of interest." </w:t>
      </w:r>
    </w:p>
    <w:p w14:paraId="6CBCEA22"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Harvey notes the accuracy of the modern economy in this way, save for</w:t>
      </w:r>
    </w:p>
    <w:p w14:paraId="266F1011"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rising prices of labor and means of production causes low inflation except for assets such as stocks and shares, land and property and resources such as </w:t>
      </w:r>
      <w:r w:rsidRPr="00832474">
        <w:rPr>
          <w:rFonts w:ascii="Times New Roman" w:hAnsi="Times New Roman" w:cs="Times New Roman"/>
          <w:b/>
          <w:bCs/>
          <w:i/>
          <w:iCs/>
          <w:sz w:val="18"/>
          <w:szCs w:val="18"/>
        </w:rPr>
        <w:t>water rights</w:t>
      </w:r>
      <w:r w:rsidRPr="00832474">
        <w:rPr>
          <w:rFonts w:ascii="Times New Roman" w:hAnsi="Times New Roman" w:cs="Times New Roman"/>
          <w:sz w:val="18"/>
          <w:szCs w:val="18"/>
        </w:rPr>
        <w:t>."</w:t>
      </w:r>
    </w:p>
    <w:p w14:paraId="0DC81D71"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latter point can be explained by the private exportation of debt, labor, and figurative and/or literal waste to the global periphery countries, which is a concept related to metabolic and carbon rift. </w:t>
      </w:r>
      <w:r w:rsidRPr="00832474">
        <w:rPr>
          <w:rFonts w:ascii="Times New Roman" w:hAnsi="Times New Roman" w:cs="Times New Roman"/>
          <w:b/>
          <w:bCs/>
          <w:i/>
          <w:iCs/>
          <w:sz w:val="18"/>
          <w:szCs w:val="18"/>
        </w:rPr>
        <w:t>Another mathematical model that explains the value of fiat money comes from game theory.</w:t>
      </w:r>
      <w:r w:rsidRPr="00832474">
        <w:rPr>
          <w:rFonts w:ascii="Times New Roman" w:hAnsi="Times New Roman" w:cs="Times New Roman"/>
          <w:sz w:val="18"/>
          <w:szCs w:val="18"/>
        </w:rPr>
        <w:t xml:space="preserve"> </w:t>
      </w:r>
    </w:p>
    <w:p w14:paraId="511E338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a game where agents produce and trade objects, there can be multiple Nash </w:t>
      </w:r>
      <w:proofErr w:type="gramStart"/>
      <w:r w:rsidRPr="00832474">
        <w:rPr>
          <w:rFonts w:ascii="Times New Roman" w:hAnsi="Times New Roman" w:cs="Times New Roman"/>
          <w:sz w:val="18"/>
          <w:szCs w:val="18"/>
        </w:rPr>
        <w:t>equilibria</w:t>
      </w:r>
      <w:proofErr w:type="gramEnd"/>
      <w:r w:rsidRPr="00832474">
        <w:rPr>
          <w:rFonts w:ascii="Times New Roman" w:hAnsi="Times New Roman" w:cs="Times New Roman"/>
          <w:sz w:val="18"/>
          <w:szCs w:val="18"/>
        </w:rPr>
        <w:t xml:space="preserve"> where agents settle on stable behavior. In a model by </w:t>
      </w:r>
      <w:proofErr w:type="spellStart"/>
      <w:r w:rsidRPr="00832474">
        <w:rPr>
          <w:rFonts w:ascii="Times New Roman" w:hAnsi="Times New Roman" w:cs="Times New Roman"/>
          <w:sz w:val="18"/>
          <w:szCs w:val="18"/>
        </w:rPr>
        <w:t>Kiyotaki</w:t>
      </w:r>
      <w:proofErr w:type="spellEnd"/>
      <w:r w:rsidRPr="00832474">
        <w:rPr>
          <w:rFonts w:ascii="Times New Roman" w:hAnsi="Times New Roman" w:cs="Times New Roman"/>
          <w:sz w:val="18"/>
          <w:szCs w:val="18"/>
        </w:rPr>
        <w:t xml:space="preserve"> and Wright, an object with no intrinsic worth can have value during trade in one or more of the Nash equilibria. </w:t>
      </w:r>
    </w:p>
    <w:p w14:paraId="00CEA72D" w14:textId="77777777" w:rsidR="002D0DAD" w:rsidRPr="00832474" w:rsidRDefault="002D0DAD" w:rsidP="00E83929">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History</w:t>
      </w:r>
    </w:p>
    <w:p w14:paraId="12F012F0"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China</w:t>
      </w:r>
    </w:p>
    <w:p w14:paraId="1F132D66"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China has a long history with paper money, beginning in the 7th century CE. During the 11th century, the government established a monopoly on its issuance, and about the end of the 12th century, convertibility was suspended. The use of such money became widespread during the subsequent Yuan and Ming dynasties. </w:t>
      </w:r>
    </w:p>
    <w:p w14:paraId="3DC1677A" w14:textId="1EB83CD0"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Song dynasty in China was the first to issue paper money, called the </w:t>
      </w:r>
      <w:r w:rsidRPr="00E83929">
        <w:rPr>
          <w:rFonts w:ascii="Times New Roman" w:hAnsi="Times New Roman" w:cs="Times New Roman"/>
          <w:i/>
          <w:iCs/>
          <w:sz w:val="18"/>
          <w:szCs w:val="18"/>
        </w:rPr>
        <w:t>jiaozi</w:t>
      </w:r>
      <w:r w:rsidRPr="00832474">
        <w:rPr>
          <w:rFonts w:ascii="Times New Roman" w:hAnsi="Times New Roman" w:cs="Times New Roman"/>
          <w:sz w:val="18"/>
          <w:szCs w:val="18"/>
        </w:rPr>
        <w:t xml:space="preserve">, about the 10th century CE. Although the notes were valued at a certain exchange rate for gold, silver, or silk, conversion was never allowed in practice. The notes were initially to be redeemed after three years' service, to be replaced by new notes for a 3% service charge, but, as more of them were printed without notes being retired, inflation became evident. The government made several attempts to maintain the value of the paper money by demanding taxes partly in currency and making other laws, but the damage had been done, and the notes became disfavored. </w:t>
      </w:r>
    </w:p>
    <w:p w14:paraId="3FAB851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succeeding Yuan dynasty was the first dynasty of China to use paper currency as the predominant circulating medium. The founder of the Yuan dynasty, </w:t>
      </w:r>
      <w:r w:rsidRPr="00832474">
        <w:rPr>
          <w:rFonts w:ascii="Times New Roman" w:hAnsi="Times New Roman" w:cs="Times New Roman"/>
          <w:b/>
          <w:bCs/>
          <w:sz w:val="18"/>
          <w:szCs w:val="18"/>
        </w:rPr>
        <w:t>Kublai Khan</w:t>
      </w:r>
      <w:r w:rsidRPr="00832474">
        <w:rPr>
          <w:rFonts w:ascii="Times New Roman" w:hAnsi="Times New Roman" w:cs="Times New Roman"/>
          <w:sz w:val="18"/>
          <w:szCs w:val="18"/>
        </w:rPr>
        <w:t xml:space="preserve">, issued paper money known as </w:t>
      </w:r>
      <w:proofErr w:type="spellStart"/>
      <w:r w:rsidRPr="00832474">
        <w:rPr>
          <w:rFonts w:ascii="Times New Roman" w:hAnsi="Times New Roman" w:cs="Times New Roman"/>
          <w:sz w:val="18"/>
          <w:szCs w:val="18"/>
        </w:rPr>
        <w:t>Jiaochao</w:t>
      </w:r>
      <w:proofErr w:type="spellEnd"/>
      <w:r w:rsidRPr="00832474">
        <w:rPr>
          <w:rFonts w:ascii="Times New Roman" w:hAnsi="Times New Roman" w:cs="Times New Roman"/>
          <w:sz w:val="18"/>
          <w:szCs w:val="18"/>
        </w:rPr>
        <w:t xml:space="preserve"> during his reign. The original notes during the Yuan dynasty were restricted in area and duration as in the Song dynasty.</w:t>
      </w:r>
    </w:p>
    <w:p w14:paraId="321E2D6F"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13th century, Marco Polo described the fiat money of the Yuan dynasty in his book </w:t>
      </w:r>
      <w:r w:rsidRPr="00832474">
        <w:rPr>
          <w:rFonts w:ascii="Times New Roman" w:hAnsi="Times New Roman" w:cs="Times New Roman"/>
          <w:i/>
          <w:iCs/>
          <w:sz w:val="18"/>
          <w:szCs w:val="18"/>
        </w:rPr>
        <w:t>The Travels of Marco Polo:</w:t>
      </w:r>
      <w:r w:rsidRPr="00832474">
        <w:rPr>
          <w:rFonts w:ascii="Times New Roman" w:hAnsi="Times New Roman" w:cs="Times New Roman"/>
          <w:sz w:val="18"/>
          <w:szCs w:val="18"/>
        </w:rPr>
        <w:t xml:space="preserve"> </w:t>
      </w:r>
    </w:p>
    <w:p w14:paraId="4AC1BFE2"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All these pieces of paper are issued with as much solemnity and authority as if they were of pure gold or silver... and indeed everybody takes them readily, for wheresoever a person may go throughout the Great Kaan's dominions he shall find these pieces of paper current, and shall be able to transact all sales and purchases of goods by means of them just as well as if they were coins of pure gold. — Marco Polo, </w:t>
      </w:r>
      <w:r w:rsidRPr="00832474">
        <w:rPr>
          <w:rFonts w:ascii="Times New Roman" w:hAnsi="Times New Roman" w:cs="Times New Roman"/>
          <w:i/>
          <w:iCs/>
          <w:sz w:val="18"/>
          <w:szCs w:val="18"/>
        </w:rPr>
        <w:t>The Travels of Marco Polo</w:t>
      </w:r>
    </w:p>
    <w:p w14:paraId="05EB22A9"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Europe</w:t>
      </w:r>
    </w:p>
    <w:p w14:paraId="289D73E7"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According to a travelogue of a visit to Prague in 960 by Ibrahim ibn Yaqub, small pieces of cloth were used as a means of trade, with these </w:t>
      </w:r>
      <w:proofErr w:type="gramStart"/>
      <w:r w:rsidRPr="00832474">
        <w:rPr>
          <w:rFonts w:ascii="Times New Roman" w:hAnsi="Times New Roman" w:cs="Times New Roman"/>
          <w:sz w:val="18"/>
          <w:szCs w:val="18"/>
        </w:rPr>
        <w:t>cloths</w:t>
      </w:r>
      <w:proofErr w:type="gramEnd"/>
      <w:r w:rsidRPr="00832474">
        <w:rPr>
          <w:rFonts w:ascii="Times New Roman" w:hAnsi="Times New Roman" w:cs="Times New Roman"/>
          <w:sz w:val="18"/>
          <w:szCs w:val="18"/>
        </w:rPr>
        <w:t xml:space="preserve"> having a set exchange rate versus silver. </w:t>
      </w:r>
    </w:p>
    <w:p w14:paraId="3B743BD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Around 1150, the Knights Templar would issue notes to pilgrims. Pilgrims would deposit valuables with a local Templar preceptory before embarking for the Holy Land and receive a document indicating the value of their deposit. They would then use that document upon arrival in the Holy Land to receive funds from the treasury of equal value. </w:t>
      </w:r>
    </w:p>
    <w:p w14:paraId="75284F30"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lastRenderedPageBreak/>
        <w:t xml:space="preserve">Washington Irving records an emergency use of paper money by the Spanish for a siege during the Conquest of Granada (1482–1492). In 1661, Johan Palmstruch issued the first regular paper money in the West, by royal charter from the Kingdom of Sweden, through a new institution, the Bank of Stockholm. While this private paper currency was largely a failure, the Swedish parliament eventually assumed control of the issue of paper money in the country. By 1745, its paper money was inconvertible to </w:t>
      </w:r>
      <w:hyperlink r:id="rId9" w:tooltip="Bullion coin" w:history="1">
        <w:r w:rsidRPr="00832474">
          <w:rPr>
            <w:rStyle w:val="Hyperlink"/>
            <w:rFonts w:ascii="Times New Roman" w:hAnsi="Times New Roman" w:cs="Times New Roman"/>
            <w:sz w:val="18"/>
            <w:szCs w:val="18"/>
          </w:rPr>
          <w:t>specie</w:t>
        </w:r>
      </w:hyperlink>
      <w:r w:rsidRPr="00832474">
        <w:rPr>
          <w:rFonts w:ascii="Times New Roman" w:hAnsi="Times New Roman" w:cs="Times New Roman"/>
          <w:sz w:val="18"/>
          <w:szCs w:val="18"/>
        </w:rPr>
        <w:t xml:space="preserve">, but acceptance was mandated by the government. This fiat currency depreciated so rapidly that by 1776 it was returned to a silver standard. Fiat money also has other beginnings in 17th-century Europe, having been introduced by the Bank of Amsterdam in 1683. </w:t>
      </w:r>
    </w:p>
    <w:p w14:paraId="2672EB76"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New France 1685–1770</w:t>
      </w:r>
    </w:p>
    <w:p w14:paraId="21BFCDA2"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17th century New France, now part of Canada, the universally accepted medium of exchange or fiduciary money, was the beaver pelt. As the colony expanded, coins from France came to be used widely, but there was usually a shortage of French coins. In 1685, the colonial authorities in New France found themselves seriously short of money. A military expedition against the Iroquois had gone badly and tax revenues were down, reducing government money reserves. Typically, when short of funds, the government would simply delay paying merchants for purchases, but it was not safe to delay payment to soldiers due to the risk of mutiny. Jacques de Meulles, the Intendant of Finance, conceived an ingenious ad hoc or ‘improvised’ solution – the temporary issuance of paper money to pay the soldiers, in the form of playing cards. He confiscated all the playing cards in the colony, had them cut into pieces, wrote denominations on the pieces, signed them, and issued them to the soldiers as pay in lieu of gold and silver. Because of the chronic shortages of money of all types in the colonies, these cards were accepted readily by merchants and the public and circulated freely at face value. It was intended to be purely a temporary expedient, and it was not until years later that its role as a medium of exchange was recognized. The first issue of playing card money occurred during June 1685 and was redeemed three months later. However, the shortages of </w:t>
      </w:r>
      <w:proofErr w:type="gramStart"/>
      <w:r w:rsidRPr="00832474">
        <w:rPr>
          <w:rFonts w:ascii="Times New Roman" w:hAnsi="Times New Roman" w:cs="Times New Roman"/>
          <w:sz w:val="18"/>
          <w:szCs w:val="18"/>
        </w:rPr>
        <w:t>coinage</w:t>
      </w:r>
      <w:proofErr w:type="gramEnd"/>
      <w:r w:rsidRPr="00832474">
        <w:rPr>
          <w:rFonts w:ascii="Times New Roman" w:hAnsi="Times New Roman" w:cs="Times New Roman"/>
          <w:sz w:val="18"/>
          <w:szCs w:val="18"/>
        </w:rPr>
        <w:t xml:space="preserve"> </w:t>
      </w:r>
      <w:proofErr w:type="gramStart"/>
      <w:r w:rsidRPr="00832474">
        <w:rPr>
          <w:rFonts w:ascii="Times New Roman" w:hAnsi="Times New Roman" w:cs="Times New Roman"/>
          <w:sz w:val="18"/>
          <w:szCs w:val="18"/>
        </w:rPr>
        <w:t>reoccurred</w:t>
      </w:r>
      <w:proofErr w:type="gramEnd"/>
      <w:r w:rsidRPr="00832474">
        <w:rPr>
          <w:rFonts w:ascii="Times New Roman" w:hAnsi="Times New Roman" w:cs="Times New Roman"/>
          <w:sz w:val="18"/>
          <w:szCs w:val="18"/>
        </w:rPr>
        <w:t xml:space="preserve"> and more issues of card money were made during subsequent years. Because of their wide acceptance as money and the general shortage of money in the colony, many of the playing cards were not redeemed but continued to circulate, acting as a useful substitute for scarce gold and silver coins from France. Eventually, the </w:t>
      </w:r>
      <w:r w:rsidRPr="00832474">
        <w:rPr>
          <w:rFonts w:ascii="Times New Roman" w:hAnsi="Times New Roman" w:cs="Times New Roman"/>
          <w:b/>
          <w:bCs/>
          <w:sz w:val="18"/>
          <w:szCs w:val="18"/>
        </w:rPr>
        <w:t>G</w:t>
      </w:r>
      <w:r w:rsidRPr="00832474">
        <w:rPr>
          <w:rFonts w:ascii="Times New Roman" w:hAnsi="Times New Roman" w:cs="Times New Roman"/>
          <w:sz w:val="18"/>
          <w:szCs w:val="18"/>
        </w:rPr>
        <w:t xml:space="preserve">overnor of New France acknowledged their useful role as a circulating medium of exchange. </w:t>
      </w:r>
    </w:p>
    <w:p w14:paraId="5640896E" w14:textId="16418DC5"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w:t>
      </w:r>
      <w:r w:rsidRPr="00832474">
        <w:rPr>
          <w:rFonts w:ascii="Times New Roman" w:hAnsi="Times New Roman" w:cs="Times New Roman"/>
          <w:b/>
          <w:bCs/>
          <w:sz w:val="18"/>
          <w:szCs w:val="18"/>
        </w:rPr>
        <w:t>governor of New France</w:t>
      </w:r>
      <w:r w:rsidRPr="00832474">
        <w:rPr>
          <w:rFonts w:ascii="Times New Roman" w:hAnsi="Times New Roman" w:cs="Times New Roman"/>
          <w:sz w:val="18"/>
          <w:szCs w:val="18"/>
        </w:rPr>
        <w:t xml:space="preserve"> was the viceroy of the King of France in </w:t>
      </w:r>
      <w:r w:rsidRPr="00832474">
        <w:rPr>
          <w:rFonts w:ascii="Times New Roman" w:hAnsi="Times New Roman" w:cs="Times New Roman"/>
          <w:b/>
          <w:bCs/>
          <w:sz w:val="18"/>
          <w:szCs w:val="18"/>
        </w:rPr>
        <w:t>North America</w:t>
      </w:r>
      <w:r w:rsidRPr="00832474">
        <w:rPr>
          <w:rFonts w:ascii="Times New Roman" w:hAnsi="Times New Roman" w:cs="Times New Roman"/>
          <w:sz w:val="18"/>
          <w:szCs w:val="18"/>
        </w:rPr>
        <w:t>. A French nobleman, he was appointed to govern the colonies of New France, which included Canada, Acadia and Louisiana. The residence of the Governor was at the Chateau St. Louis in the capital of Quebec City. Acadia, Louisiana, and the towns of Trois-Rivières and Montreal had their own particular governors. Prior to the establishment of the 1663 Sovereign Council, the highest positions in New France were that of Governor and Lieutenant-General, which were often held by the same person. The Governor then had responsibilities over both military and civil affairs in the colonies. With the new royal administration of 1663, the title of governor general was given to the person responsible for the military and diplomatic relations. The duties of administration of justice, police and finance were given to the Intendant, who presided over the Sovereign Council. The Governor General answered to the French Secretary of State of the Navy and the Controller General of Finance.</w:t>
      </w:r>
    </w:p>
    <w:p w14:paraId="04E5290A" w14:textId="504377F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As the finances of the French government deteriorated because of European wars, it reduced its financial assistance to its colonies, so the colonial authorities in Canada relied </w:t>
      </w:r>
      <w:proofErr w:type="gramStart"/>
      <w:r w:rsidRPr="00832474">
        <w:rPr>
          <w:rFonts w:ascii="Times New Roman" w:hAnsi="Times New Roman" w:cs="Times New Roman"/>
          <w:sz w:val="18"/>
          <w:szCs w:val="18"/>
        </w:rPr>
        <w:t>more and more</w:t>
      </w:r>
      <w:proofErr w:type="gramEnd"/>
      <w:r w:rsidRPr="00832474">
        <w:rPr>
          <w:rFonts w:ascii="Times New Roman" w:hAnsi="Times New Roman" w:cs="Times New Roman"/>
          <w:sz w:val="18"/>
          <w:szCs w:val="18"/>
        </w:rPr>
        <w:t xml:space="preserve"> on card money. By 1757, the government had discontinued all payments in coin and payments were made </w:t>
      </w:r>
      <w:proofErr w:type="gramStart"/>
      <w:r w:rsidRPr="00832474">
        <w:rPr>
          <w:rFonts w:ascii="Times New Roman" w:hAnsi="Times New Roman" w:cs="Times New Roman"/>
          <w:sz w:val="18"/>
          <w:szCs w:val="18"/>
        </w:rPr>
        <w:t>in</w:t>
      </w:r>
      <w:proofErr w:type="gramEnd"/>
      <w:r w:rsidRPr="00832474">
        <w:rPr>
          <w:rFonts w:ascii="Times New Roman" w:hAnsi="Times New Roman" w:cs="Times New Roman"/>
          <w:sz w:val="18"/>
          <w:szCs w:val="18"/>
        </w:rPr>
        <w:t xml:space="preserve"> paper instead. In an application of Gresham's Law – bad money drives out good – people hoarded gold and </w:t>
      </w:r>
      <w:proofErr w:type="gramStart"/>
      <w:r w:rsidRPr="00832474">
        <w:rPr>
          <w:rFonts w:ascii="Times New Roman" w:hAnsi="Times New Roman" w:cs="Times New Roman"/>
          <w:sz w:val="18"/>
          <w:szCs w:val="18"/>
        </w:rPr>
        <w:t>silver, and</w:t>
      </w:r>
      <w:proofErr w:type="gramEnd"/>
      <w:r w:rsidRPr="00832474">
        <w:rPr>
          <w:rFonts w:ascii="Times New Roman" w:hAnsi="Times New Roman" w:cs="Times New Roman"/>
          <w:sz w:val="18"/>
          <w:szCs w:val="18"/>
        </w:rPr>
        <w:t xml:space="preserve"> used paper money instead. The costs of the Seven Years' War resulted in rapid inflation in New France. After the British conquest in 1760, the paper money became almost worthless, but business did not end because gold and silver that had been hoarded came back into circulation. By the Treaty of Paris (1763), the French government agreed to convert the outstanding card money into debentures, but with the French government essentially bankrupt, these bonds were defaulted and by 1771 they were worthless.</w:t>
      </w:r>
    </w:p>
    <w:p w14:paraId="66642392" w14:textId="053F6CE6"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Royal Canadian Mint still issues Playing Card Money in commemoration of its history, but now in 92.5% silver form with gold plate on the edge. It therefore has an intrinsic value which considerably exceeds its fiat value. The Bank of Canada and Canadian economists often use this early form of paper currency to illustrate the true nature of money for Canadians. </w:t>
      </w:r>
    </w:p>
    <w:p w14:paraId="2AB5880F" w14:textId="77777777" w:rsidR="002D0DAD" w:rsidRPr="00832474" w:rsidRDefault="002D0DAD" w:rsidP="00E83929">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18th and 19th centuries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305"/>
        <w:gridCol w:w="970"/>
      </w:tblGrid>
      <w:tr w:rsidR="002D0DAD" w:rsidRPr="00832474" w14:paraId="30A7832C" w14:textId="77777777" w:rsidTr="00E83929">
        <w:trPr>
          <w:tblCellSpacing w:w="15" w:type="dxa"/>
          <w:jc w:val="center"/>
        </w:trPr>
        <w:tc>
          <w:tcPr>
            <w:tcW w:w="0" w:type="auto"/>
            <w:gridSpan w:val="2"/>
            <w:tcBorders>
              <w:top w:val="nil"/>
              <w:left w:val="nil"/>
              <w:bottom w:val="nil"/>
              <w:right w:val="nil"/>
            </w:tcBorders>
            <w:vAlign w:val="center"/>
            <w:hideMark/>
          </w:tcPr>
          <w:p w14:paraId="11317022"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 xml:space="preserve">Adoption of </w:t>
            </w:r>
            <w:r w:rsidRPr="00832474">
              <w:rPr>
                <w:rFonts w:ascii="Times New Roman" w:hAnsi="Times New Roman" w:cs="Times New Roman"/>
                <w:b/>
                <w:bCs/>
                <w:sz w:val="18"/>
                <w:szCs w:val="18"/>
              </w:rPr>
              <w:t>'Gold Standard'</w:t>
            </w:r>
            <w:r w:rsidRPr="00832474">
              <w:rPr>
                <w:rFonts w:ascii="Times New Roman" w:hAnsi="Times New Roman" w:cs="Times New Roman"/>
                <w:sz w:val="18"/>
                <w:szCs w:val="18"/>
              </w:rPr>
              <w:t xml:space="preserve">, i.e., paper currency convertible into gold </w:t>
            </w:r>
          </w:p>
        </w:tc>
      </w:tr>
      <w:tr w:rsidR="002D0DAD" w:rsidRPr="00832474" w14:paraId="6522FA9C" w14:textId="77777777" w:rsidTr="00E83929">
        <w:trPr>
          <w:tblCellSpacing w:w="15" w:type="dxa"/>
          <w:jc w:val="center"/>
        </w:trPr>
        <w:tc>
          <w:tcPr>
            <w:tcW w:w="0" w:type="auto"/>
            <w:shd w:val="clear" w:color="auto" w:fill="000000" w:themeFill="text1"/>
            <w:vAlign w:val="center"/>
            <w:hideMark/>
          </w:tcPr>
          <w:p w14:paraId="255FF904" w14:textId="77777777"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Country</w:t>
            </w:r>
          </w:p>
        </w:tc>
        <w:tc>
          <w:tcPr>
            <w:tcW w:w="0" w:type="auto"/>
            <w:shd w:val="clear" w:color="auto" w:fill="000000" w:themeFill="text1"/>
            <w:vAlign w:val="center"/>
            <w:hideMark/>
          </w:tcPr>
          <w:p w14:paraId="6DE0D39C" w14:textId="77777777"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Year</w:t>
            </w:r>
          </w:p>
        </w:tc>
      </w:tr>
      <w:tr w:rsidR="002D0DAD" w:rsidRPr="00832474" w14:paraId="406CC2DE" w14:textId="77777777" w:rsidTr="00E83929">
        <w:trPr>
          <w:tblCellSpacing w:w="15" w:type="dxa"/>
          <w:jc w:val="center"/>
        </w:trPr>
        <w:tc>
          <w:tcPr>
            <w:tcW w:w="0" w:type="auto"/>
            <w:vAlign w:val="center"/>
            <w:hideMark/>
          </w:tcPr>
          <w:p w14:paraId="09F52517" w14:textId="7F09875F"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lastRenderedPageBreak/>
              <w:t>United Kingdom</w:t>
            </w:r>
          </w:p>
        </w:tc>
        <w:tc>
          <w:tcPr>
            <w:tcW w:w="0" w:type="auto"/>
            <w:vAlign w:val="center"/>
            <w:hideMark/>
          </w:tcPr>
          <w:p w14:paraId="1C9CA4D8"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1821</w:t>
            </w:r>
          </w:p>
        </w:tc>
      </w:tr>
      <w:tr w:rsidR="002D0DAD" w:rsidRPr="00832474" w14:paraId="11787799" w14:textId="77777777" w:rsidTr="00E83929">
        <w:trPr>
          <w:tblCellSpacing w:w="15" w:type="dxa"/>
          <w:jc w:val="center"/>
        </w:trPr>
        <w:tc>
          <w:tcPr>
            <w:tcW w:w="0" w:type="auto"/>
            <w:vAlign w:val="center"/>
            <w:hideMark/>
          </w:tcPr>
          <w:p w14:paraId="277C94AB"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Germany</w:t>
            </w:r>
          </w:p>
        </w:tc>
        <w:tc>
          <w:tcPr>
            <w:tcW w:w="0" w:type="auto"/>
            <w:vAlign w:val="center"/>
            <w:hideMark/>
          </w:tcPr>
          <w:p w14:paraId="71602BA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1871</w:t>
            </w:r>
          </w:p>
        </w:tc>
      </w:tr>
      <w:tr w:rsidR="002D0DAD" w:rsidRPr="00832474" w14:paraId="3DD46C48" w14:textId="77777777" w:rsidTr="00E83929">
        <w:trPr>
          <w:tblCellSpacing w:w="15" w:type="dxa"/>
          <w:jc w:val="center"/>
        </w:trPr>
        <w:tc>
          <w:tcPr>
            <w:tcW w:w="0" w:type="auto"/>
            <w:vAlign w:val="center"/>
            <w:hideMark/>
          </w:tcPr>
          <w:p w14:paraId="5590E3D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Sweden</w:t>
            </w:r>
          </w:p>
        </w:tc>
        <w:tc>
          <w:tcPr>
            <w:tcW w:w="0" w:type="auto"/>
            <w:vAlign w:val="center"/>
            <w:hideMark/>
          </w:tcPr>
          <w:p w14:paraId="3281EFAC"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1873</w:t>
            </w:r>
          </w:p>
        </w:tc>
      </w:tr>
      <w:tr w:rsidR="002D0DAD" w:rsidRPr="00832474" w14:paraId="40CFE129" w14:textId="77777777" w:rsidTr="00E83929">
        <w:trPr>
          <w:tblCellSpacing w:w="15" w:type="dxa"/>
          <w:jc w:val="center"/>
        </w:trPr>
        <w:tc>
          <w:tcPr>
            <w:tcW w:w="0" w:type="auto"/>
            <w:vAlign w:val="center"/>
            <w:hideMark/>
          </w:tcPr>
          <w:p w14:paraId="194AD4FC" w14:textId="791C045A"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United States</w:t>
            </w:r>
            <w:r w:rsidRPr="00832474">
              <w:rPr>
                <w:rFonts w:ascii="Times New Roman" w:hAnsi="Times New Roman" w:cs="Times New Roman"/>
                <w:sz w:val="18"/>
                <w:szCs w:val="18"/>
              </w:rPr>
              <w:t xml:space="preserve"> (</w:t>
            </w:r>
            <w:r w:rsidRPr="00832474">
              <w:rPr>
                <w:rFonts w:ascii="Times New Roman" w:hAnsi="Times New Roman" w:cs="Times New Roman"/>
                <w:i/>
                <w:iCs/>
                <w:sz w:val="18"/>
                <w:szCs w:val="18"/>
              </w:rPr>
              <w:t>de facto</w:t>
            </w:r>
            <w:r w:rsidRPr="00832474">
              <w:rPr>
                <w:rFonts w:ascii="Times New Roman" w:hAnsi="Times New Roman" w:cs="Times New Roman"/>
                <w:sz w:val="18"/>
                <w:szCs w:val="18"/>
              </w:rPr>
              <w:t>)</w:t>
            </w:r>
          </w:p>
        </w:tc>
        <w:tc>
          <w:tcPr>
            <w:tcW w:w="0" w:type="auto"/>
            <w:vAlign w:val="center"/>
            <w:hideMark/>
          </w:tcPr>
          <w:p w14:paraId="66D97E51"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1873</w:t>
            </w:r>
          </w:p>
        </w:tc>
      </w:tr>
      <w:tr w:rsidR="002D0DAD" w:rsidRPr="00832474" w14:paraId="2FC62CD6" w14:textId="77777777" w:rsidTr="00E83929">
        <w:trPr>
          <w:tblCellSpacing w:w="15" w:type="dxa"/>
          <w:jc w:val="center"/>
        </w:trPr>
        <w:tc>
          <w:tcPr>
            <w:tcW w:w="0" w:type="auto"/>
            <w:vAlign w:val="center"/>
            <w:hideMark/>
          </w:tcPr>
          <w:p w14:paraId="01FDC5C7" w14:textId="23EFFBE4"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France</w:t>
            </w:r>
          </w:p>
        </w:tc>
        <w:tc>
          <w:tcPr>
            <w:tcW w:w="0" w:type="auto"/>
            <w:vAlign w:val="center"/>
            <w:hideMark/>
          </w:tcPr>
          <w:p w14:paraId="7F991BA3"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04E0D3F4" w14:textId="77777777" w:rsidTr="00E83929">
        <w:trPr>
          <w:tblCellSpacing w:w="15" w:type="dxa"/>
          <w:jc w:val="center"/>
        </w:trPr>
        <w:tc>
          <w:tcPr>
            <w:tcW w:w="0" w:type="auto"/>
            <w:vAlign w:val="center"/>
            <w:hideMark/>
          </w:tcPr>
          <w:p w14:paraId="60B2D872"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Belgium</w:t>
            </w:r>
          </w:p>
        </w:tc>
        <w:tc>
          <w:tcPr>
            <w:tcW w:w="0" w:type="auto"/>
            <w:vAlign w:val="center"/>
            <w:hideMark/>
          </w:tcPr>
          <w:p w14:paraId="48266AE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60A2FAD8" w14:textId="77777777" w:rsidTr="00E83929">
        <w:trPr>
          <w:tblCellSpacing w:w="15" w:type="dxa"/>
          <w:jc w:val="center"/>
        </w:trPr>
        <w:tc>
          <w:tcPr>
            <w:tcW w:w="0" w:type="auto"/>
            <w:vAlign w:val="center"/>
            <w:hideMark/>
          </w:tcPr>
          <w:p w14:paraId="402FE08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Italy</w:t>
            </w:r>
          </w:p>
        </w:tc>
        <w:tc>
          <w:tcPr>
            <w:tcW w:w="0" w:type="auto"/>
            <w:vAlign w:val="center"/>
            <w:hideMark/>
          </w:tcPr>
          <w:p w14:paraId="07C661CF"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0673CDF9" w14:textId="77777777" w:rsidTr="00E83929">
        <w:trPr>
          <w:tblCellSpacing w:w="15" w:type="dxa"/>
          <w:jc w:val="center"/>
        </w:trPr>
        <w:tc>
          <w:tcPr>
            <w:tcW w:w="0" w:type="auto"/>
            <w:vAlign w:val="center"/>
            <w:hideMark/>
          </w:tcPr>
          <w:p w14:paraId="677E1698"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Switzerland</w:t>
            </w:r>
          </w:p>
        </w:tc>
        <w:tc>
          <w:tcPr>
            <w:tcW w:w="0" w:type="auto"/>
            <w:vAlign w:val="center"/>
            <w:hideMark/>
          </w:tcPr>
          <w:p w14:paraId="6B35B52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1D18CAB1" w14:textId="77777777" w:rsidTr="00E83929">
        <w:trPr>
          <w:tblCellSpacing w:w="15" w:type="dxa"/>
          <w:jc w:val="center"/>
        </w:trPr>
        <w:tc>
          <w:tcPr>
            <w:tcW w:w="0" w:type="auto"/>
            <w:vAlign w:val="center"/>
            <w:hideMark/>
          </w:tcPr>
          <w:p w14:paraId="23B1887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Netherlands</w:t>
            </w:r>
          </w:p>
        </w:tc>
        <w:tc>
          <w:tcPr>
            <w:tcW w:w="0" w:type="auto"/>
            <w:vAlign w:val="center"/>
            <w:hideMark/>
          </w:tcPr>
          <w:p w14:paraId="6CCD5A9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1875</w:t>
            </w:r>
          </w:p>
        </w:tc>
      </w:tr>
      <w:tr w:rsidR="002D0DAD" w:rsidRPr="00832474" w14:paraId="55A8CBBF" w14:textId="77777777" w:rsidTr="00E83929">
        <w:trPr>
          <w:tblCellSpacing w:w="15" w:type="dxa"/>
          <w:jc w:val="center"/>
        </w:trPr>
        <w:tc>
          <w:tcPr>
            <w:tcW w:w="0" w:type="auto"/>
            <w:vAlign w:val="center"/>
            <w:hideMark/>
          </w:tcPr>
          <w:p w14:paraId="5B24A391" w14:textId="1AA2C5EE"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Austria-Hungary</w:t>
            </w:r>
          </w:p>
        </w:tc>
        <w:tc>
          <w:tcPr>
            <w:tcW w:w="0" w:type="auto"/>
            <w:vAlign w:val="center"/>
            <w:hideMark/>
          </w:tcPr>
          <w:p w14:paraId="27A3E58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1892</w:t>
            </w:r>
          </w:p>
        </w:tc>
      </w:tr>
      <w:tr w:rsidR="002D0DAD" w:rsidRPr="00832474" w14:paraId="72737E81" w14:textId="77777777" w:rsidTr="00E83929">
        <w:trPr>
          <w:tblCellSpacing w:w="15" w:type="dxa"/>
          <w:jc w:val="center"/>
        </w:trPr>
        <w:tc>
          <w:tcPr>
            <w:tcW w:w="0" w:type="auto"/>
            <w:vAlign w:val="center"/>
            <w:hideMark/>
          </w:tcPr>
          <w:p w14:paraId="479D5393" w14:textId="3C8E7F2D"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Japan</w:t>
            </w:r>
          </w:p>
        </w:tc>
        <w:tc>
          <w:tcPr>
            <w:tcW w:w="0" w:type="auto"/>
            <w:vAlign w:val="center"/>
            <w:hideMark/>
          </w:tcPr>
          <w:p w14:paraId="799C0B8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1897</w:t>
            </w:r>
          </w:p>
        </w:tc>
      </w:tr>
      <w:tr w:rsidR="002D0DAD" w:rsidRPr="00832474" w14:paraId="26FCB334" w14:textId="77777777" w:rsidTr="00E83929">
        <w:trPr>
          <w:tblCellSpacing w:w="15" w:type="dxa"/>
          <w:jc w:val="center"/>
        </w:trPr>
        <w:tc>
          <w:tcPr>
            <w:tcW w:w="0" w:type="auto"/>
            <w:vAlign w:val="center"/>
            <w:hideMark/>
          </w:tcPr>
          <w:p w14:paraId="53C8FEE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Russia</w:t>
            </w:r>
          </w:p>
        </w:tc>
        <w:tc>
          <w:tcPr>
            <w:tcW w:w="0" w:type="auto"/>
            <w:vAlign w:val="center"/>
            <w:hideMark/>
          </w:tcPr>
          <w:p w14:paraId="60E75D8C"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1898</w:t>
            </w:r>
          </w:p>
        </w:tc>
      </w:tr>
      <w:tr w:rsidR="002D0DAD" w:rsidRPr="00832474" w14:paraId="0567124B" w14:textId="77777777" w:rsidTr="00E83929">
        <w:trPr>
          <w:tblCellSpacing w:w="15" w:type="dxa"/>
          <w:jc w:val="center"/>
        </w:trPr>
        <w:tc>
          <w:tcPr>
            <w:tcW w:w="0" w:type="auto"/>
            <w:vAlign w:val="center"/>
            <w:hideMark/>
          </w:tcPr>
          <w:p w14:paraId="4773A895" w14:textId="575EC179"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United States</w:t>
            </w:r>
            <w:r w:rsidRPr="00832474">
              <w:rPr>
                <w:rFonts w:ascii="Times New Roman" w:hAnsi="Times New Roman" w:cs="Times New Roman"/>
                <w:sz w:val="18"/>
                <w:szCs w:val="18"/>
              </w:rPr>
              <w:t xml:space="preserve"> (</w:t>
            </w:r>
            <w:r w:rsidRPr="00832474">
              <w:rPr>
                <w:rFonts w:ascii="Times New Roman" w:hAnsi="Times New Roman" w:cs="Times New Roman"/>
                <w:i/>
                <w:iCs/>
                <w:sz w:val="18"/>
                <w:szCs w:val="18"/>
              </w:rPr>
              <w:t>de jure</w:t>
            </w:r>
            <w:r w:rsidRPr="00832474">
              <w:rPr>
                <w:rFonts w:ascii="Times New Roman" w:hAnsi="Times New Roman" w:cs="Times New Roman"/>
                <w:sz w:val="18"/>
                <w:szCs w:val="18"/>
              </w:rPr>
              <w:t>)</w:t>
            </w:r>
          </w:p>
        </w:tc>
        <w:tc>
          <w:tcPr>
            <w:tcW w:w="0" w:type="auto"/>
            <w:vAlign w:val="center"/>
            <w:hideMark/>
          </w:tcPr>
          <w:p w14:paraId="3B173C0A"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1900</w:t>
            </w:r>
          </w:p>
        </w:tc>
      </w:tr>
    </w:tbl>
    <w:p w14:paraId="5E3585BC"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An early form of fiat currency in the Thirteen Colonies was "bills of credit". Provincial governments produced notes which were fiat currency, with the promise to allow holders to pay taxes with those notes. The notes were issued to </w:t>
      </w:r>
      <w:proofErr w:type="gramStart"/>
      <w:r w:rsidRPr="00832474">
        <w:rPr>
          <w:rFonts w:ascii="Times New Roman" w:hAnsi="Times New Roman" w:cs="Times New Roman"/>
          <w:sz w:val="18"/>
          <w:szCs w:val="18"/>
        </w:rPr>
        <w:t>pay</w:t>
      </w:r>
      <w:proofErr w:type="gramEnd"/>
      <w:r w:rsidRPr="00832474">
        <w:rPr>
          <w:rFonts w:ascii="Times New Roman" w:hAnsi="Times New Roman" w:cs="Times New Roman"/>
          <w:sz w:val="18"/>
          <w:szCs w:val="18"/>
        </w:rPr>
        <w:t xml:space="preserve"> current obligations and could be used for taxes levied </w:t>
      </w:r>
      <w:proofErr w:type="gramStart"/>
      <w:r w:rsidRPr="00832474">
        <w:rPr>
          <w:rFonts w:ascii="Times New Roman" w:hAnsi="Times New Roman" w:cs="Times New Roman"/>
          <w:sz w:val="18"/>
          <w:szCs w:val="18"/>
        </w:rPr>
        <w:t>at a later time</w:t>
      </w:r>
      <w:proofErr w:type="gramEnd"/>
      <w:r w:rsidRPr="00832474">
        <w:rPr>
          <w:rFonts w:ascii="Times New Roman" w:hAnsi="Times New Roman" w:cs="Times New Roman"/>
          <w:sz w:val="18"/>
          <w:szCs w:val="18"/>
        </w:rPr>
        <w:t xml:space="preserve">. Since the notes were denominated in the local unit of </w:t>
      </w:r>
      <w:proofErr w:type="gramStart"/>
      <w:r w:rsidRPr="00832474">
        <w:rPr>
          <w:rFonts w:ascii="Times New Roman" w:hAnsi="Times New Roman" w:cs="Times New Roman"/>
          <w:sz w:val="18"/>
          <w:szCs w:val="18"/>
        </w:rPr>
        <w:t>account</w:t>
      </w:r>
      <w:proofErr w:type="gramEnd"/>
      <w:r w:rsidRPr="00832474">
        <w:rPr>
          <w:rFonts w:ascii="Times New Roman" w:hAnsi="Times New Roman" w:cs="Times New Roman"/>
          <w:sz w:val="18"/>
          <w:szCs w:val="18"/>
        </w:rPr>
        <w:t xml:space="preserve">, they were circulated from person to person in non-tax transactions. These types of notes were issued particularly in Pennsylvania, Virginia and Massachusetts. Such money was sold at a discount to silver. The government would then spend them, and they would expire at a fixed later date. </w:t>
      </w:r>
    </w:p>
    <w:p w14:paraId="465869D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Bills of credit have generated some controversy from their inception. Those who have wanted to emphasize the dangers of inflation have emphasized those colonies where the bills of credit depreciated most dramatically: New England and the Carolinas. Those who wanted to defend the use of bills of credit in the colonies have emphasized the middle colonies, where inflation was practically nonexistent. </w:t>
      </w:r>
    </w:p>
    <w:p w14:paraId="48E24B0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Colonial powers intentionally introduced fiat currencies backed by taxes, e.g., hut taxes or poll taxes to mobilize economic resources in their new possessions, at least as a transitional arrangement. The purpose of such taxes was later served by property taxes. The repeated cycle of deflationary hard money, followed by inflationary paper money continued through much of the 18th and 19th centuries. Often nations would have dual currencies, with paper trading at some discount to money which represented </w:t>
      </w:r>
      <w:proofErr w:type="gramStart"/>
      <w:r w:rsidRPr="00832474">
        <w:rPr>
          <w:rFonts w:ascii="Times New Roman" w:hAnsi="Times New Roman" w:cs="Times New Roman"/>
          <w:sz w:val="18"/>
          <w:szCs w:val="18"/>
        </w:rPr>
        <w:t>specie</w:t>
      </w:r>
      <w:proofErr w:type="gramEnd"/>
      <w:r w:rsidRPr="00832474">
        <w:rPr>
          <w:rFonts w:ascii="Times New Roman" w:hAnsi="Times New Roman" w:cs="Times New Roman"/>
          <w:sz w:val="18"/>
          <w:szCs w:val="18"/>
        </w:rPr>
        <w:t>.</w:t>
      </w:r>
    </w:p>
    <w:p w14:paraId="2C663706" w14:textId="771E45AC" w:rsidR="002D0DAD" w:rsidRPr="00E83929" w:rsidRDefault="002D0DAD" w:rsidP="002D0DAD">
      <w:pPr>
        <w:jc w:val="both"/>
        <w:rPr>
          <w:rFonts w:ascii="Times New Roman" w:hAnsi="Times New Roman" w:cs="Times New Roman"/>
          <w:b/>
          <w:bCs/>
          <w:sz w:val="18"/>
          <w:szCs w:val="18"/>
        </w:rPr>
      </w:pPr>
      <w:r w:rsidRPr="00E83929">
        <w:rPr>
          <w:rFonts w:ascii="Times New Roman" w:hAnsi="Times New Roman" w:cs="Times New Roman"/>
          <w:b/>
          <w:bCs/>
          <w:sz w:val="18"/>
          <w:szCs w:val="18"/>
        </w:rPr>
        <w:t xml:space="preserve">Examples </w:t>
      </w:r>
      <w:r w:rsidR="00E83929">
        <w:rPr>
          <w:rFonts w:ascii="Times New Roman" w:hAnsi="Times New Roman" w:cs="Times New Roman"/>
          <w:b/>
          <w:bCs/>
          <w:sz w:val="18"/>
          <w:szCs w:val="18"/>
        </w:rPr>
        <w:t>include:</w:t>
      </w:r>
    </w:p>
    <w:p w14:paraId="685999F9" w14:textId="28D8EABC"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"Continental" bills issued by the U.S. Congress before the United States Constitution;</w:t>
      </w:r>
    </w:p>
    <w:p w14:paraId="5074D985" w14:textId="3DD77488"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paper versus gold ducats in Napoleonic era Vienna, where paper often traded at 100:1 against gold;</w:t>
      </w:r>
    </w:p>
    <w:p w14:paraId="2DC9AB05" w14:textId="0FCA04C9"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South Sea Bubble, which produced bank notes not representing sufficient reserves; and</w:t>
      </w:r>
    </w:p>
    <w:p w14:paraId="2CB2A148" w14:textId="3523F7C5"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Mississippi Company scheme of John Law.</w:t>
      </w:r>
    </w:p>
    <w:p w14:paraId="5BE1FF0D"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British North American Civil War, the Federal Government issued United States Notes, a form of paper fiat currency known popularly as </w:t>
      </w:r>
      <w:r w:rsidRPr="00832474">
        <w:rPr>
          <w:rFonts w:ascii="Times New Roman" w:hAnsi="Times New Roman" w:cs="Times New Roman"/>
          <w:b/>
          <w:bCs/>
          <w:sz w:val="18"/>
          <w:szCs w:val="18"/>
        </w:rPr>
        <w:t>'greenbacks'</w:t>
      </w:r>
      <w:r w:rsidRPr="00832474">
        <w:rPr>
          <w:rFonts w:ascii="Times New Roman" w:hAnsi="Times New Roman" w:cs="Times New Roman"/>
          <w:sz w:val="18"/>
          <w:szCs w:val="18"/>
        </w:rPr>
        <w:t xml:space="preserve">. Their issue was limited by Congress </w:t>
      </w:r>
      <w:proofErr w:type="gramStart"/>
      <w:r w:rsidRPr="00832474">
        <w:rPr>
          <w:rFonts w:ascii="Times New Roman" w:hAnsi="Times New Roman" w:cs="Times New Roman"/>
          <w:sz w:val="18"/>
          <w:szCs w:val="18"/>
        </w:rPr>
        <w:t>at</w:t>
      </w:r>
      <w:proofErr w:type="gramEnd"/>
      <w:r w:rsidRPr="00832474">
        <w:rPr>
          <w:rFonts w:ascii="Times New Roman" w:hAnsi="Times New Roman" w:cs="Times New Roman"/>
          <w:sz w:val="18"/>
          <w:szCs w:val="18"/>
        </w:rPr>
        <w:t xml:space="preserve"> slightly more than $340 million. During the 1870s, withdrawal of the notes from circulation was opposed by the United States Greenback Party. It was termed 'fiat money' in an 1878 party convention. </w:t>
      </w:r>
    </w:p>
    <w:p w14:paraId="080282E6"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lastRenderedPageBreak/>
        <w:t>20th century</w:t>
      </w:r>
    </w:p>
    <w:p w14:paraId="6364579E" w14:textId="421C094A"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Immediately after World War I, governments and banks </w:t>
      </w:r>
      <w:proofErr w:type="gramStart"/>
      <w:r w:rsidRPr="00832474">
        <w:rPr>
          <w:rFonts w:ascii="Times New Roman" w:hAnsi="Times New Roman" w:cs="Times New Roman"/>
          <w:sz w:val="18"/>
          <w:szCs w:val="18"/>
        </w:rPr>
        <w:t>generally still</w:t>
      </w:r>
      <w:proofErr w:type="gramEnd"/>
      <w:r w:rsidRPr="00832474">
        <w:rPr>
          <w:rFonts w:ascii="Times New Roman" w:hAnsi="Times New Roman" w:cs="Times New Roman"/>
          <w:sz w:val="18"/>
          <w:szCs w:val="18"/>
        </w:rPr>
        <w:t xml:space="preserve"> promised to convert notes and coins into their nominal commodity, with redemption by </w:t>
      </w:r>
      <w:proofErr w:type="gramStart"/>
      <w:r w:rsidRPr="00832474">
        <w:rPr>
          <w:rFonts w:ascii="Times New Roman" w:hAnsi="Times New Roman" w:cs="Times New Roman"/>
          <w:sz w:val="18"/>
          <w:szCs w:val="18"/>
        </w:rPr>
        <w:t>specie</w:t>
      </w:r>
      <w:proofErr w:type="gramEnd"/>
      <w:r w:rsidRPr="00832474">
        <w:rPr>
          <w:rFonts w:ascii="Times New Roman" w:hAnsi="Times New Roman" w:cs="Times New Roman"/>
          <w:sz w:val="18"/>
          <w:szCs w:val="18"/>
        </w:rPr>
        <w:t xml:space="preserve">, which was typically gold on demand. </w:t>
      </w:r>
      <w:r w:rsidRPr="00832474">
        <w:rPr>
          <w:rFonts w:ascii="Times New Roman" w:hAnsi="Times New Roman" w:cs="Times New Roman"/>
          <w:b/>
          <w:bCs/>
          <w:i/>
          <w:iCs/>
          <w:sz w:val="18"/>
          <w:szCs w:val="18"/>
        </w:rPr>
        <w:t xml:space="preserve">However, the costs of the war and the required repairs and economic growth based on subsequent government borrowing made governments suspend redemption by </w:t>
      </w:r>
      <w:proofErr w:type="gramStart"/>
      <w:r w:rsidRPr="00832474">
        <w:rPr>
          <w:rFonts w:ascii="Times New Roman" w:hAnsi="Times New Roman" w:cs="Times New Roman"/>
          <w:b/>
          <w:bCs/>
          <w:i/>
          <w:iCs/>
          <w:sz w:val="18"/>
          <w:szCs w:val="18"/>
        </w:rPr>
        <w:t>specie</w:t>
      </w:r>
      <w:proofErr w:type="gramEnd"/>
      <w:r w:rsidRPr="00832474">
        <w:rPr>
          <w:rFonts w:ascii="Times New Roman" w:hAnsi="Times New Roman" w:cs="Times New Roman"/>
          <w:b/>
          <w:bCs/>
          <w:i/>
          <w:iCs/>
          <w:sz w:val="18"/>
          <w:szCs w:val="18"/>
        </w:rPr>
        <w:t>.</w:t>
      </w:r>
      <w:r w:rsidRPr="00832474">
        <w:rPr>
          <w:rFonts w:ascii="Times New Roman" w:hAnsi="Times New Roman" w:cs="Times New Roman"/>
          <w:sz w:val="18"/>
          <w:szCs w:val="18"/>
        </w:rPr>
        <w:t xml:space="preserve"> Some governments were wary of avoiding sovereign default but did not realize the consequences of paying debts by consigning newly printed cash not associated with a metal standard to their creditors, which resulted in hyperinflation, as was witnessed with the hyperinflation in the Weimar Republic.</w:t>
      </w:r>
    </w:p>
    <w:p w14:paraId="1B822CB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From 1944 to 1971, the Bretton Woods agreement fixed the value of 35 United States dollars to one troy ounce of gold. Other currencies were calibrated with the U.S. dollar at fixed rates: for </w:t>
      </w:r>
      <w:proofErr w:type="gramStart"/>
      <w:r w:rsidRPr="00832474">
        <w:rPr>
          <w:rFonts w:ascii="Times New Roman" w:hAnsi="Times New Roman" w:cs="Times New Roman"/>
          <w:sz w:val="18"/>
          <w:szCs w:val="18"/>
        </w:rPr>
        <w:t>example</w:t>
      </w:r>
      <w:proofErr w:type="gramEnd"/>
      <w:r w:rsidRPr="00832474">
        <w:rPr>
          <w:rFonts w:ascii="Times New Roman" w:hAnsi="Times New Roman" w:cs="Times New Roman"/>
          <w:sz w:val="18"/>
          <w:szCs w:val="18"/>
        </w:rPr>
        <w:t xml:space="preserve"> the pound sterling traded for many years within a narrow band centered on US$2.80. The U.S. promised to redeem dollars with gold transferred to other national banks. Trade imbalances were corrected by gold reserve exchanges or by loans from the International Monetary Fund (</w:t>
      </w:r>
      <w:r w:rsidRPr="00832474">
        <w:rPr>
          <w:rFonts w:ascii="Times New Roman" w:hAnsi="Times New Roman" w:cs="Times New Roman"/>
          <w:b/>
          <w:bCs/>
          <w:sz w:val="18"/>
          <w:szCs w:val="18"/>
        </w:rPr>
        <w:t>IMF</w:t>
      </w:r>
      <w:r w:rsidRPr="00832474">
        <w:rPr>
          <w:rFonts w:ascii="Times New Roman" w:hAnsi="Times New Roman" w:cs="Times New Roman"/>
          <w:sz w:val="18"/>
          <w:szCs w:val="18"/>
        </w:rPr>
        <w:t xml:space="preserve">). The Bretton Woods system was ended by what became known as the </w:t>
      </w:r>
      <w:r w:rsidRPr="00832474">
        <w:rPr>
          <w:rFonts w:ascii="Times New Roman" w:hAnsi="Times New Roman" w:cs="Times New Roman"/>
          <w:b/>
          <w:bCs/>
          <w:sz w:val="18"/>
          <w:szCs w:val="18"/>
        </w:rPr>
        <w:t>Nixon shock</w:t>
      </w:r>
      <w:r w:rsidRPr="00832474">
        <w:rPr>
          <w:rFonts w:ascii="Times New Roman" w:hAnsi="Times New Roman" w:cs="Times New Roman"/>
          <w:sz w:val="18"/>
          <w:szCs w:val="18"/>
        </w:rPr>
        <w:t xml:space="preserve">, a series of economic changes by United States President Richard Nixon in </w:t>
      </w:r>
      <w:r w:rsidRPr="00832474">
        <w:rPr>
          <w:rFonts w:ascii="Times New Roman" w:hAnsi="Times New Roman" w:cs="Times New Roman"/>
          <w:b/>
          <w:bCs/>
          <w:sz w:val="18"/>
          <w:szCs w:val="18"/>
        </w:rPr>
        <w:t>1971</w:t>
      </w:r>
      <w:r w:rsidRPr="00832474">
        <w:rPr>
          <w:rFonts w:ascii="Times New Roman" w:hAnsi="Times New Roman" w:cs="Times New Roman"/>
          <w:sz w:val="18"/>
          <w:szCs w:val="18"/>
        </w:rPr>
        <w:t xml:space="preserve">. </w:t>
      </w:r>
    </w:p>
    <w:p w14:paraId="6BFABDB9" w14:textId="77777777" w:rsidR="002D0DAD" w:rsidRPr="00832474" w:rsidRDefault="002D0DAD" w:rsidP="002D0DAD">
      <w:pPr>
        <w:pStyle w:val="ListParagraph"/>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These changes included </w:t>
      </w:r>
      <w:r w:rsidRPr="00832474">
        <w:rPr>
          <w:rFonts w:ascii="Times New Roman" w:hAnsi="Times New Roman" w:cs="Times New Roman"/>
          <w:b/>
          <w:bCs/>
          <w:sz w:val="18"/>
          <w:szCs w:val="18"/>
        </w:rPr>
        <w:t>unilaterally</w:t>
      </w:r>
      <w:r w:rsidRPr="00832474">
        <w:rPr>
          <w:rFonts w:ascii="Times New Roman" w:hAnsi="Times New Roman" w:cs="Times New Roman"/>
          <w:sz w:val="18"/>
          <w:szCs w:val="18"/>
        </w:rPr>
        <w:t xml:space="preserve"> canceling the direct convertibility of the United States dollar to gold. Since then, a system of national fiat monies has been used globally, with variable exchange rates between the major currencies. </w:t>
      </w:r>
    </w:p>
    <w:p w14:paraId="0D4D6077"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Precious metal coinage</w:t>
      </w:r>
    </w:p>
    <w:p w14:paraId="2F717508" w14:textId="6CCC5463"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1960s, production of silver coins for circulation ceased when the face value of the coin was less than the cost of the precious metal it contained, whereas it had been greater historically. In the United States, the Coinage Act of 1965 eliminated silver from circulating dimes and quarter dollars, and most other countries did the same with their coins. The Canadian penny, which was mostly copper until 1996, was removed from circulation altogether during the autumn of 2012 due to the cost of production relative to face value. On February 9, 2025, United States President Donald Trump instructed Scott Bessent, the secretary of the Treasury, to halt production of the penny, citing its high production costs. In 2007, the Royal Canadian Mint produced a </w:t>
      </w:r>
      <w:proofErr w:type="gramStart"/>
      <w:r w:rsidRPr="00832474">
        <w:rPr>
          <w:rFonts w:ascii="Times New Roman" w:hAnsi="Times New Roman" w:cs="Times New Roman"/>
          <w:sz w:val="18"/>
          <w:szCs w:val="18"/>
        </w:rPr>
        <w:t>million dollar</w:t>
      </w:r>
      <w:proofErr w:type="gramEnd"/>
      <w:r w:rsidRPr="00832474">
        <w:rPr>
          <w:rFonts w:ascii="Times New Roman" w:hAnsi="Times New Roman" w:cs="Times New Roman"/>
          <w:sz w:val="18"/>
          <w:szCs w:val="18"/>
        </w:rPr>
        <w:t xml:space="preserve"> gold bullion coin and sold five of them. In 2015, the gold in the coins was worth more than 3.5 times the face value. </w:t>
      </w:r>
    </w:p>
    <w:p w14:paraId="2EA37445"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Money creation and regulation</w:t>
      </w:r>
    </w:p>
    <w:p w14:paraId="3AE13804" w14:textId="42F51DB4"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A central bank introduces new money into an economy by purchasing financial assets or lending money to financial institutions. Commercial banks then redeploy or repurpose this base money by credit creation through fractional reserve banking, which expands the total supply of "broad money"</w:t>
      </w:r>
      <w:r w:rsidR="00C75B36" w:rsidRPr="00832474">
        <w:rPr>
          <w:rFonts w:ascii="Times New Roman" w:hAnsi="Times New Roman" w:cs="Times New Roman"/>
          <w:sz w:val="18"/>
          <w:szCs w:val="18"/>
        </w:rPr>
        <w:t xml:space="preserve">, i.e., </w:t>
      </w:r>
      <w:r w:rsidRPr="00832474">
        <w:rPr>
          <w:rFonts w:ascii="Times New Roman" w:hAnsi="Times New Roman" w:cs="Times New Roman"/>
          <w:sz w:val="18"/>
          <w:szCs w:val="18"/>
        </w:rPr>
        <w:t>cash plus demand deposits.</w:t>
      </w:r>
      <w:r w:rsidR="00C75B36" w:rsidRPr="00832474">
        <w:rPr>
          <w:rFonts w:ascii="Times New Roman" w:hAnsi="Times New Roman" w:cs="Times New Roman"/>
          <w:sz w:val="18"/>
          <w:szCs w:val="18"/>
        </w:rPr>
        <w:t xml:space="preserve"> </w:t>
      </w:r>
    </w:p>
    <w:p w14:paraId="6D2EB363" w14:textId="08078381"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In modern economies, relatively little of the supply of broad money is physical currency. For example, in December 2010 in the U.S., of the $8,853.4 billion of broad money supply (M2), only $915.7 billion (about 10%) consisted of physical coins and paper money. The manufacturing of new physical money is usually the responsibility of the national bank, or sometimes, the government's treasury.</w:t>
      </w:r>
    </w:p>
    <w:p w14:paraId="33A4D72D" w14:textId="6E6AC03F"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The Bank for International Settlements historically published detailed reviews of payment system developments in the Committee on Payments and Market Infrastructures (CPMI) countries through annual "red book" reports. Since November 2023, this data is now published through the BIS Data Portal rather than as a PDF report. The CPMI releases updated statistics annually in March, accompanied by a brief analytical report on payment trends</w:t>
      </w:r>
      <w:r w:rsidR="00C75B36" w:rsidRPr="00832474">
        <w:rPr>
          <w:rFonts w:ascii="Times New Roman" w:hAnsi="Times New Roman" w:cs="Times New Roman"/>
          <w:sz w:val="18"/>
          <w:szCs w:val="18"/>
        </w:rPr>
        <w:t>.</w:t>
      </w:r>
      <w:r w:rsidRPr="00832474">
        <w:rPr>
          <w:rFonts w:ascii="Times New Roman" w:hAnsi="Times New Roman" w:cs="Times New Roman"/>
          <w:sz w:val="18"/>
          <w:szCs w:val="18"/>
        </w:rPr>
        <w:t xml:space="preserve"> The value of physical currency as a percentage of GDP ranges from 19.4% in Japan to 1.7% in Sweden, with an overall average of 8.9% (7.9% for the US).</w:t>
      </w:r>
    </w:p>
    <w:p w14:paraId="565FD093" w14:textId="3A3DB86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Data on currency in circulation (M0) obtained from central bank reports and statistical releases, with foreign currency amounts converted to US dollars using Federal Reserve exchange rates as of December 31, 2024.</w:t>
      </w:r>
      <w:r w:rsidR="00C75B36" w:rsidRPr="00832474">
        <w:rPr>
          <w:rFonts w:ascii="Times New Roman" w:hAnsi="Times New Roman" w:cs="Times New Roman"/>
          <w:sz w:val="18"/>
          <w:szCs w:val="18"/>
        </w:rPr>
        <w:t xml:space="preserve"> </w:t>
      </w:r>
    </w:p>
    <w:p w14:paraId="34D16AB9"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Inflation</w:t>
      </w:r>
    </w:p>
    <w:p w14:paraId="28354011" w14:textId="40269199"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adoption of fiat currency by many countries, from the 18th century onwards, made much larger variations in the supply of money possible. Since then, huge increases in the supply of paper money have occurred in </w:t>
      </w:r>
      <w:proofErr w:type="gramStart"/>
      <w:r w:rsidRPr="00832474">
        <w:rPr>
          <w:rFonts w:ascii="Times New Roman" w:hAnsi="Times New Roman" w:cs="Times New Roman"/>
          <w:sz w:val="18"/>
          <w:szCs w:val="18"/>
        </w:rPr>
        <w:t>a number of</w:t>
      </w:r>
      <w:proofErr w:type="gramEnd"/>
      <w:r w:rsidRPr="00832474">
        <w:rPr>
          <w:rFonts w:ascii="Times New Roman" w:hAnsi="Times New Roman" w:cs="Times New Roman"/>
          <w:sz w:val="18"/>
          <w:szCs w:val="18"/>
        </w:rPr>
        <w:t xml:space="preserve"> countries. </w:t>
      </w:r>
    </w:p>
    <w:p w14:paraId="1DE7A02C" w14:textId="16295B6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Austrian, monetarist, neoclassical and New Keynesian economists hold that increase in money supply causes inflation while Keynesian, Post-Keynesian and modern monetary theory economists argue that increase in money supply is insufficient to cause inflation, if it doesn't result in increased aggregate demand or if it increases aggregate demand, but not enough to fill the output gap - the potential of the economy to produce goods and services. </w:t>
      </w:r>
    </w:p>
    <w:p w14:paraId="59F88336" w14:textId="73812C9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lastRenderedPageBreak/>
        <w:t xml:space="preserve">The channel through which money supply is increased affects its distribution between firms and households, which in turn determines whether aggregate demand is increased. For </w:t>
      </w:r>
      <w:proofErr w:type="gramStart"/>
      <w:r w:rsidRPr="00832474">
        <w:rPr>
          <w:rFonts w:ascii="Times New Roman" w:hAnsi="Times New Roman" w:cs="Times New Roman"/>
          <w:sz w:val="18"/>
          <w:szCs w:val="18"/>
        </w:rPr>
        <w:t>example</w:t>
      </w:r>
      <w:proofErr w:type="gramEnd"/>
      <w:r w:rsidRPr="00832474">
        <w:rPr>
          <w:rFonts w:ascii="Times New Roman" w:hAnsi="Times New Roman" w:cs="Times New Roman"/>
          <w:sz w:val="18"/>
          <w:szCs w:val="18"/>
        </w:rPr>
        <w:t xml:space="preserve"> wealthy households that save most of their income contribute much less of this income to aggregate demand than poor households that spend most of it. As a result, if money supply takes the form of government bond coupon payments, these payments are received by wealthy households or by banks and firms that are in turn owned by mostly wealthy households, resulting in increased savings and increased prices of assets like real estate, but a negligible effect on aggregate demand. </w:t>
      </w:r>
    </w:p>
    <w:p w14:paraId="2DCE968B" w14:textId="29F0DC6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Presently, most economists favor a small and steady rate of inflation. Small</w:t>
      </w:r>
      <w:r w:rsidR="00C75B36" w:rsidRPr="00832474">
        <w:rPr>
          <w:rFonts w:ascii="Times New Roman" w:hAnsi="Times New Roman" w:cs="Times New Roman"/>
          <w:sz w:val="18"/>
          <w:szCs w:val="18"/>
        </w:rPr>
        <w:t xml:space="preserve">, </w:t>
      </w:r>
      <w:r w:rsidRPr="00832474">
        <w:rPr>
          <w:rFonts w:ascii="Times New Roman" w:hAnsi="Times New Roman" w:cs="Times New Roman"/>
          <w:sz w:val="18"/>
          <w:szCs w:val="18"/>
        </w:rPr>
        <w:t>as opposed to zero or negative) inflation reduces the severity of economic recessions by enabling the labor market to adjust more quickly to a recession, and reduces the risk that a liquidity trap</w:t>
      </w:r>
      <w:r w:rsidR="00C75B36" w:rsidRPr="00832474">
        <w:rPr>
          <w:rFonts w:ascii="Times New Roman" w:hAnsi="Times New Roman" w:cs="Times New Roman"/>
          <w:sz w:val="18"/>
          <w:szCs w:val="18"/>
        </w:rPr>
        <w:t xml:space="preserve">, i.e., </w:t>
      </w:r>
      <w:r w:rsidRPr="00832474">
        <w:rPr>
          <w:rFonts w:ascii="Times New Roman" w:hAnsi="Times New Roman" w:cs="Times New Roman"/>
          <w:sz w:val="18"/>
          <w:szCs w:val="18"/>
        </w:rPr>
        <w:t>a reluctance to lend money due to low rates of interest</w:t>
      </w:r>
      <w:r w:rsidR="00C75B36" w:rsidRPr="00832474">
        <w:rPr>
          <w:rFonts w:ascii="Times New Roman" w:hAnsi="Times New Roman" w:cs="Times New Roman"/>
          <w:sz w:val="18"/>
          <w:szCs w:val="18"/>
        </w:rPr>
        <w:t>,</w:t>
      </w:r>
      <w:r w:rsidRPr="00832474">
        <w:rPr>
          <w:rFonts w:ascii="Times New Roman" w:hAnsi="Times New Roman" w:cs="Times New Roman"/>
          <w:sz w:val="18"/>
          <w:szCs w:val="18"/>
        </w:rPr>
        <w:t xml:space="preserve"> prevents monetary policy from stabilizing the economy. However, low interest rates don't always cause nominal increases </w:t>
      </w:r>
      <w:proofErr w:type="gramStart"/>
      <w:r w:rsidRPr="00832474">
        <w:rPr>
          <w:rFonts w:ascii="Times New Roman" w:hAnsi="Times New Roman" w:cs="Times New Roman"/>
          <w:sz w:val="18"/>
          <w:szCs w:val="18"/>
        </w:rPr>
        <w:t>of</w:t>
      </w:r>
      <w:proofErr w:type="gramEnd"/>
      <w:r w:rsidRPr="00832474">
        <w:rPr>
          <w:rFonts w:ascii="Times New Roman" w:hAnsi="Times New Roman" w:cs="Times New Roman"/>
          <w:sz w:val="18"/>
          <w:szCs w:val="18"/>
        </w:rPr>
        <w:t xml:space="preserve"> price. Money supply growth may instead result in stable prices at a time in which they would otherwise </w:t>
      </w:r>
      <w:proofErr w:type="gramStart"/>
      <w:r w:rsidRPr="00832474">
        <w:rPr>
          <w:rFonts w:ascii="Times New Roman" w:hAnsi="Times New Roman" w:cs="Times New Roman"/>
          <w:sz w:val="18"/>
          <w:szCs w:val="18"/>
        </w:rPr>
        <w:t>be decreasing</w:t>
      </w:r>
      <w:proofErr w:type="gramEnd"/>
      <w:r w:rsidRPr="00832474">
        <w:rPr>
          <w:rFonts w:ascii="Times New Roman" w:hAnsi="Times New Roman" w:cs="Times New Roman"/>
          <w:sz w:val="18"/>
          <w:szCs w:val="18"/>
        </w:rPr>
        <w:t>. Some economists maintain that with the conditions of a liquidity trap, large monetary injections are like "pushing on a string".</w:t>
      </w:r>
      <w:r w:rsidR="00C75B36" w:rsidRPr="00832474">
        <w:rPr>
          <w:rFonts w:ascii="Times New Roman" w:hAnsi="Times New Roman" w:cs="Times New Roman"/>
          <w:sz w:val="18"/>
          <w:szCs w:val="18"/>
        </w:rPr>
        <w:t xml:space="preserve"> </w:t>
      </w:r>
    </w:p>
    <w:p w14:paraId="697229DC" w14:textId="646D32D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The task of keeping the rate of inflation small and stable is usually given to monetary authorities. Generally, these monetary authorities are the national banks that control monetary policy by the setting of interest rates, by open market operations, and by the setting of banking reserve requirements.</w:t>
      </w:r>
      <w:r w:rsidR="00C75B36" w:rsidRPr="00832474">
        <w:rPr>
          <w:rFonts w:ascii="Times New Roman" w:hAnsi="Times New Roman" w:cs="Times New Roman"/>
          <w:sz w:val="18"/>
          <w:szCs w:val="18"/>
        </w:rPr>
        <w:t xml:space="preserve"> </w:t>
      </w:r>
    </w:p>
    <w:p w14:paraId="5BBCD52E" w14:textId="3E16F29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Loss of backing</w:t>
      </w:r>
    </w:p>
    <w:p w14:paraId="764B3401" w14:textId="78C7E303"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Austrian, monetarist and New Classical economists generally argue that fiat-money systems are vulnerable to severe inflation when fiscal discipline collapses and monetary authorities are forced to accommodate deficits, often citing historical hyperinflations such as in Weimar Germany, Zimbabwe, and Venezuela. These schools emphasize excessive money growth, loss of credibility, and fiscal dominance as central mechanisms. In contrast, Modern Monetary Theory economists argue that all cases of hyperinflation were preceded by a prior collapse of real productive capacity due to war, land reform or external constraints and that money creation alone has historically not been sufficient to cause hyperinflation, though it may exacerbate inflation once real productive limits are breached.</w:t>
      </w:r>
      <w:r w:rsidR="00C75B36" w:rsidRPr="00832474">
        <w:rPr>
          <w:rFonts w:ascii="Times New Roman" w:hAnsi="Times New Roman" w:cs="Times New Roman"/>
          <w:sz w:val="18"/>
          <w:szCs w:val="18"/>
        </w:rPr>
        <w:t xml:space="preserve"> </w:t>
      </w:r>
    </w:p>
    <w:p w14:paraId="1DC2F5FE"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0" w:tooltip="The adverse possession in Australia was inherited from England." w:history="1">
        <w:r w:rsidRPr="00E83929">
          <w:rPr>
            <w:rStyle w:val="Hyperlink"/>
            <w:rFonts w:ascii="Times New Roman" w:hAnsi="Times New Roman" w:cs="Times New Roman"/>
            <w:color w:val="auto"/>
            <w:sz w:val="18"/>
            <w:szCs w:val="18"/>
          </w:rPr>
          <w:t>Adverse possession in Australia</w:t>
        </w:r>
      </w:hyperlink>
    </w:p>
    <w:p w14:paraId="5B63C1E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1" w:history="1">
        <w:r w:rsidRPr="00E83929">
          <w:rPr>
            <w:rStyle w:val="Hyperlink"/>
            <w:rFonts w:ascii="Times New Roman" w:hAnsi="Times New Roman" w:cs="Times New Roman"/>
            <w:color w:val="auto"/>
            <w:sz w:val="18"/>
            <w:szCs w:val="18"/>
          </w:rPr>
          <w:t>Appropriation (economics)</w:t>
        </w:r>
      </w:hyperlink>
    </w:p>
    <w:p w14:paraId="1D12905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2" w:tooltip="Informal housing is illegal, falls outside of government control or regulation, or is not afforded protection by the state." w:history="1">
        <w:r w:rsidRPr="00E83929">
          <w:rPr>
            <w:rStyle w:val="Hyperlink"/>
            <w:rFonts w:ascii="Times New Roman" w:hAnsi="Times New Roman" w:cs="Times New Roman"/>
            <w:color w:val="auto"/>
            <w:sz w:val="18"/>
            <w:szCs w:val="18"/>
          </w:rPr>
          <w:t>Informal settlement</w:t>
        </w:r>
      </w:hyperlink>
    </w:p>
    <w:p w14:paraId="6C380FC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3" w:tooltip="Title is an intangible construct representing a bundle of rights in a piece of property in which a party may own either a ..." w:history="1">
        <w:r w:rsidRPr="00E83929">
          <w:rPr>
            <w:rStyle w:val="Hyperlink"/>
            <w:rFonts w:ascii="Times New Roman" w:hAnsi="Times New Roman" w:cs="Times New Roman"/>
            <w:color w:val="auto"/>
            <w:sz w:val="18"/>
            <w:szCs w:val="18"/>
          </w:rPr>
          <w:t>Title (property)</w:t>
        </w:r>
      </w:hyperlink>
    </w:p>
    <w:p w14:paraId="788DEC0C" w14:textId="7F50B91F"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r w:rsidRPr="00E83929">
        <w:rPr>
          <w:rFonts w:ascii="Times New Roman" w:hAnsi="Times New Roman" w:cs="Times New Roman"/>
          <w:b/>
          <w:bCs/>
          <w:i/>
          <w:iCs/>
          <w:sz w:val="18"/>
          <w:szCs w:val="18"/>
        </w:rPr>
        <w:t xml:space="preserve">Pedis </w:t>
      </w:r>
      <w:proofErr w:type="spellStart"/>
      <w:r w:rsidRPr="00E83929">
        <w:rPr>
          <w:rFonts w:ascii="Times New Roman" w:hAnsi="Times New Roman" w:cs="Times New Roman"/>
          <w:b/>
          <w:bCs/>
          <w:i/>
          <w:iCs/>
          <w:sz w:val="18"/>
          <w:szCs w:val="18"/>
        </w:rPr>
        <w:t>possessio</w:t>
      </w:r>
      <w:proofErr w:type="spellEnd"/>
      <w:r w:rsidRPr="00E83929">
        <w:rPr>
          <w:rFonts w:ascii="Times New Roman" w:hAnsi="Times New Roman" w:cs="Times New Roman"/>
          <w:sz w:val="18"/>
          <w:szCs w:val="18"/>
        </w:rPr>
        <w:t xml:space="preserve"> ("possession of the foot"): ownership by first </w:t>
      </w:r>
      <w:proofErr w:type="spellStart"/>
      <w:r w:rsidRPr="00E83929">
        <w:rPr>
          <w:rFonts w:ascii="Times New Roman" w:hAnsi="Times New Roman" w:cs="Times New Roman"/>
          <w:sz w:val="18"/>
          <w:szCs w:val="18"/>
        </w:rPr>
        <w:t>occupi</w:t>
      </w:r>
      <w:hyperlink r:id="rId14" w:tooltip="Squatting is the action of occupying an abandoned or unoccupied area of land or a building, usually residential that the ..." w:history="1">
        <w:r w:rsidRPr="00E83929">
          <w:rPr>
            <w:rStyle w:val="Hyperlink"/>
            <w:rFonts w:ascii="Times New Roman" w:hAnsi="Times New Roman" w:cs="Times New Roman"/>
            <w:color w:val="auto"/>
            <w:sz w:val="18"/>
            <w:szCs w:val="18"/>
          </w:rPr>
          <w:t>Squatting</w:t>
        </w:r>
        <w:proofErr w:type="spellEnd"/>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unauthorized use of abandoned property with no implied ownership or right to use</w:t>
      </w:r>
    </w:p>
    <w:p w14:paraId="251B868F" w14:textId="10994D8B"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5" w:tooltip="Usucaption is a concept found in civil law systems and has its origin in the Roman law of property." w:history="1">
        <w:r w:rsidRPr="00E83929">
          <w:rPr>
            <w:rStyle w:val="Hyperlink"/>
            <w:rFonts w:ascii="Times New Roman" w:hAnsi="Times New Roman" w:cs="Times New Roman"/>
            <w:color w:val="auto"/>
            <w:sz w:val="18"/>
            <w:szCs w:val="18"/>
          </w:rPr>
          <w:t>Usucaption</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ownership after defined period of unauthorized occupation</w:t>
      </w:r>
    </w:p>
    <w:p w14:paraId="2C05F38B"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6" w:tooltip="Uti possidetis is an expression that originated in Roman private law, where it was the name of a procedure about possession ..." w:history="1">
        <w:r w:rsidRPr="00E83929">
          <w:rPr>
            <w:rStyle w:val="Hyperlink"/>
            <w:rFonts w:ascii="Times New Roman" w:hAnsi="Times New Roman" w:cs="Times New Roman"/>
            <w:i/>
            <w:iCs/>
            <w:color w:val="auto"/>
            <w:sz w:val="18"/>
            <w:szCs w:val="18"/>
          </w:rPr>
          <w:t>Uti possidetis</w:t>
        </w:r>
      </w:hyperlink>
    </w:p>
    <w:p w14:paraId="346E41C2" w14:textId="705E32B5"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7" w:tooltip="The Preemption Act of 1841 was a US federal law approved on September 4, 1841." w:history="1">
        <w:r w:rsidRPr="00E83929">
          <w:rPr>
            <w:rStyle w:val="Hyperlink"/>
            <w:rFonts w:ascii="Times New Roman" w:hAnsi="Times New Roman" w:cs="Times New Roman"/>
            <w:color w:val="auto"/>
            <w:sz w:val="18"/>
            <w:szCs w:val="18"/>
          </w:rPr>
          <w:t>Preemption Act of 1841</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law in USA</w:t>
      </w:r>
    </w:p>
    <w:p w14:paraId="04DD728B"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8" w:history="1">
        <w:r w:rsidRPr="00E83929">
          <w:rPr>
            <w:rStyle w:val="Hyperlink"/>
            <w:rFonts w:ascii="Times New Roman" w:hAnsi="Times New Roman" w:cs="Times New Roman"/>
            <w:color w:val="auto"/>
            <w:sz w:val="18"/>
            <w:szCs w:val="18"/>
          </w:rPr>
          <w:t>Rights of way in England and Wales</w:t>
        </w:r>
      </w:hyperlink>
    </w:p>
    <w:p w14:paraId="4AF76BB6" w14:textId="3FE7B17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9" w:tooltip="A usufruct is either granted in severalty or held in common ownership, as long as the property is not damaged or destroyed." w:history="1">
        <w:r w:rsidRPr="00E83929">
          <w:rPr>
            <w:rStyle w:val="Hyperlink"/>
            <w:rFonts w:ascii="Times New Roman" w:hAnsi="Times New Roman" w:cs="Times New Roman"/>
            <w:color w:val="auto"/>
            <w:sz w:val="18"/>
            <w:szCs w:val="18"/>
          </w:rPr>
          <w:t>Usufruct</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acquired right to use but not own property</w:t>
      </w:r>
    </w:p>
    <w:p w14:paraId="471140A7" w14:textId="42075E5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0" w:tooltip="Revised Statute 2477 was enacted by the United States Congress in 1866 to encourage the settlement of the Western United ..." w:history="1">
        <w:r w:rsidRPr="00E83929">
          <w:rPr>
            <w:rStyle w:val="Hyperlink"/>
            <w:rFonts w:ascii="Times New Roman" w:hAnsi="Times New Roman" w:cs="Times New Roman"/>
            <w:color w:val="auto"/>
            <w:sz w:val="18"/>
            <w:szCs w:val="18"/>
          </w:rPr>
          <w:t>Revised statute 2477</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highways &amp; paths law in USA</w:t>
      </w:r>
    </w:p>
    <w:p w14:paraId="5F781233" w14:textId="6E9B74C0"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1" w:tooltip="An easement is a nonpossessory right to use and/or enter onto the real property of another without possessing it." w:history="1">
        <w:r w:rsidRPr="00E83929">
          <w:rPr>
            <w:rStyle w:val="Hyperlink"/>
            <w:rFonts w:ascii="Times New Roman" w:hAnsi="Times New Roman" w:cs="Times New Roman"/>
            <w:color w:val="auto"/>
            <w:sz w:val="18"/>
            <w:szCs w:val="18"/>
          </w:rPr>
          <w:t>Easement</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for related adverse rights</w:t>
      </w:r>
    </w:p>
    <w:p w14:paraId="071575B3" w14:textId="59CF6011"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2" w:tooltip="A lien is a form of security interest granted over an item of property to secure the payment of a debt or performance of ..." w:history="1">
        <w:r w:rsidRPr="00E83929">
          <w:rPr>
            <w:rStyle w:val="Hyperlink"/>
            <w:rFonts w:ascii="Times New Roman" w:hAnsi="Times New Roman" w:cs="Times New Roman"/>
            <w:color w:val="auto"/>
            <w:sz w:val="18"/>
            <w:szCs w:val="18"/>
          </w:rPr>
          <w:t>Lien</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right of others to hold or sell to solve debt</w:t>
      </w:r>
    </w:p>
    <w:p w14:paraId="5D51129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3" w:history="1">
        <w:r w:rsidRPr="00E83929">
          <w:rPr>
            <w:rStyle w:val="Hyperlink"/>
            <w:rFonts w:ascii="Times New Roman" w:hAnsi="Times New Roman" w:cs="Times New Roman"/>
            <w:color w:val="auto"/>
            <w:sz w:val="18"/>
            <w:szCs w:val="18"/>
          </w:rPr>
          <w:t>List of real estate topics</w:t>
        </w:r>
      </w:hyperlink>
    </w:p>
    <w:p w14:paraId="0A431E66"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4" w:tooltip="Possession is nine-tenths of the law is an expression meaning that ownership is easier to maintain if one has possession of ..." w:history="1">
        <w:r w:rsidRPr="00E83929">
          <w:rPr>
            <w:rStyle w:val="Hyperlink"/>
            <w:rFonts w:ascii="Times New Roman" w:hAnsi="Times New Roman" w:cs="Times New Roman"/>
            <w:color w:val="auto"/>
            <w:sz w:val="18"/>
            <w:szCs w:val="18"/>
          </w:rPr>
          <w:t>Possession is nine-tenths of the law</w:t>
        </w:r>
      </w:hyperlink>
    </w:p>
    <w:p w14:paraId="4BF1E5FA"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5" w:tooltip="Property law is the area of law that governs the various forms of ownership in real property and personal property." w:history="1">
        <w:r w:rsidRPr="00E83929">
          <w:rPr>
            <w:rStyle w:val="Hyperlink"/>
            <w:rFonts w:ascii="Times New Roman" w:hAnsi="Times New Roman" w:cs="Times New Roman"/>
            <w:color w:val="auto"/>
            <w:sz w:val="18"/>
            <w:szCs w:val="18"/>
          </w:rPr>
          <w:t>Property law</w:t>
        </w:r>
      </w:hyperlink>
    </w:p>
    <w:p w14:paraId="1A108722"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6" w:tooltip="The right to property is often classified as a human right for natural person s regarding their possession s." w:history="1">
        <w:r w:rsidRPr="00E83929">
          <w:rPr>
            <w:rStyle w:val="Hyperlink"/>
            <w:rFonts w:ascii="Times New Roman" w:hAnsi="Times New Roman" w:cs="Times New Roman"/>
            <w:color w:val="auto"/>
            <w:sz w:val="18"/>
            <w:szCs w:val="18"/>
          </w:rPr>
          <w:t>Property rights</w:t>
        </w:r>
      </w:hyperlink>
    </w:p>
    <w:p w14:paraId="78AF5195" w14:textId="2A41367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7" w:tooltip="A deed is a legal document that is signed and delivered, especially concerning the ownership of property or legal rights." w:history="1">
        <w:r w:rsidRPr="00E83929">
          <w:rPr>
            <w:rStyle w:val="Hyperlink"/>
            <w:rFonts w:ascii="Times New Roman" w:hAnsi="Times New Roman" w:cs="Times New Roman"/>
            <w:color w:val="auto"/>
            <w:sz w:val="18"/>
            <w:szCs w:val="18"/>
          </w:rPr>
          <w:t>Deed</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legal document defining interest or ownership</w:t>
      </w:r>
    </w:p>
    <w:p w14:paraId="78D9AAB3" w14:textId="77777777" w:rsidR="00DA2889" w:rsidRPr="00E83929" w:rsidRDefault="00DA2889">
      <w:pPr>
        <w:pStyle w:val="ListParagraph"/>
        <w:numPr>
          <w:ilvl w:val="0"/>
          <w:numId w:val="6"/>
        </w:numPr>
        <w:spacing w:line="276"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Adverse abandonment</w:t>
      </w:r>
    </w:p>
    <w:p w14:paraId="3D8727CE" w14:textId="77777777" w:rsidR="00E83929" w:rsidRPr="00E83929" w:rsidRDefault="00E83929" w:rsidP="00E83929">
      <w:pPr>
        <w:shd w:val="clear" w:color="auto" w:fill="000000" w:themeFill="text1"/>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Acquisitive prescription / </w:t>
      </w:r>
      <w:r w:rsidRPr="00E83929">
        <w:rPr>
          <w:rFonts w:ascii="Times New Roman" w:hAnsi="Times New Roman" w:cs="Times New Roman"/>
          <w:b/>
          <w:bCs/>
          <w:sz w:val="18"/>
          <w:szCs w:val="18"/>
          <w:lang w:val="en"/>
        </w:rPr>
        <w:t>Usucaption</w:t>
      </w:r>
    </w:p>
    <w:p w14:paraId="68B850EA" w14:textId="1E0117B3" w:rsidR="00E83929" w:rsidRPr="00E83929" w:rsidRDefault="00E83929" w:rsidP="00E83929">
      <w:pPr>
        <w:jc w:val="both"/>
        <w:rPr>
          <w:rFonts w:ascii="Times New Roman" w:hAnsi="Times New Roman" w:cs="Times New Roman"/>
          <w:sz w:val="18"/>
          <w:szCs w:val="18"/>
        </w:rPr>
      </w:pPr>
      <w:r w:rsidRPr="00E83929">
        <w:rPr>
          <w:rFonts w:ascii="Times New Roman" w:hAnsi="Times New Roman" w:cs="Times New Roman"/>
          <w:sz w:val="18"/>
          <w:szCs w:val="18"/>
        </w:rPr>
        <w:t xml:space="preserve">Acquisitive prescription is a mode of acquiring ownership through long, continuous, open, and adverse possession of property for a period set by the Civil Code—10 years for ordinary prescription and 30 years for extraordinary prescription for immovables. Acquisitive prescription is also known as </w:t>
      </w:r>
      <w:r w:rsidRPr="00E83929">
        <w:rPr>
          <w:rFonts w:ascii="Times New Roman" w:hAnsi="Times New Roman" w:cs="Times New Roman"/>
          <w:i/>
          <w:iCs/>
          <w:sz w:val="18"/>
          <w:szCs w:val="18"/>
        </w:rPr>
        <w:t>usucapion</w:t>
      </w:r>
      <w:r w:rsidRPr="00E83929">
        <w:rPr>
          <w:rFonts w:ascii="Times New Roman" w:hAnsi="Times New Roman" w:cs="Times New Roman"/>
          <w:sz w:val="18"/>
          <w:szCs w:val="18"/>
        </w:rPr>
        <w:t>. It allows a possessor to become the owner of property after meeting legal conditions over time. It is governed by Articles 1106–1155 of the Civil Code of the Philippines.</w:t>
      </w:r>
    </w:p>
    <w:p w14:paraId="020501AB" w14:textId="77777777" w:rsidR="00E83929" w:rsidRPr="00E83929" w:rsidRDefault="00E83929" w:rsidP="00E83929">
      <w:pPr>
        <w:jc w:val="both"/>
        <w:rPr>
          <w:rFonts w:ascii="Times New Roman" w:hAnsi="Times New Roman" w:cs="Times New Roman"/>
          <w:b/>
          <w:bCs/>
          <w:sz w:val="18"/>
          <w:szCs w:val="18"/>
        </w:rPr>
      </w:pPr>
      <w:r w:rsidRPr="00E83929">
        <w:rPr>
          <w:rFonts w:ascii="Times New Roman" w:hAnsi="Times New Roman" w:cs="Times New Roman"/>
          <w:b/>
          <w:bCs/>
          <w:sz w:val="18"/>
          <w:szCs w:val="18"/>
        </w:rPr>
        <w:lastRenderedPageBreak/>
        <w:t>Legal Basis</w:t>
      </w:r>
    </w:p>
    <w:p w14:paraId="151DBCBD"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Civil Code of the Philippines (RA 386)</w:t>
      </w:r>
      <w:r w:rsidRPr="00E83929">
        <w:rPr>
          <w:rFonts w:ascii="Times New Roman" w:hAnsi="Times New Roman" w:cs="Times New Roman"/>
          <w:sz w:val="18"/>
          <w:szCs w:val="18"/>
        </w:rPr>
        <w:t xml:space="preserve"> — Articles 1106–1155 define prescription, including requisites and periods.</w:t>
      </w:r>
    </w:p>
    <w:p w14:paraId="30DE5A4F"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 xml:space="preserve">PD 1529 (Property Registration </w:t>
      </w:r>
      <w:proofErr w:type="gramStart"/>
      <w:r w:rsidRPr="00E83929">
        <w:rPr>
          <w:rFonts w:ascii="Times New Roman" w:hAnsi="Times New Roman" w:cs="Times New Roman"/>
          <w:b/>
          <w:bCs/>
          <w:sz w:val="18"/>
          <w:szCs w:val="18"/>
        </w:rPr>
        <w:t>Decree)</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Registered land cannot be acquired by prescription.</w:t>
      </w:r>
    </w:p>
    <w:p w14:paraId="5D3B434B"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 xml:space="preserve">Public Land Act (CA </w:t>
      </w:r>
      <w:proofErr w:type="gramStart"/>
      <w:r w:rsidRPr="00E83929">
        <w:rPr>
          <w:rFonts w:ascii="Times New Roman" w:hAnsi="Times New Roman" w:cs="Times New Roman"/>
          <w:b/>
          <w:bCs/>
          <w:sz w:val="18"/>
          <w:szCs w:val="18"/>
        </w:rPr>
        <w:t>141)</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Special rules for alienable and disposable public land.</w:t>
      </w:r>
    </w:p>
    <w:p w14:paraId="45916FBC" w14:textId="77777777" w:rsidR="00E83929" w:rsidRPr="00E83929" w:rsidRDefault="00E83929" w:rsidP="00E83929">
      <w:pPr>
        <w:shd w:val="clear" w:color="auto" w:fill="000000" w:themeFill="text1"/>
        <w:jc w:val="center"/>
        <w:rPr>
          <w:rFonts w:ascii="Times New Roman" w:hAnsi="Times New Roman" w:cs="Times New Roman"/>
          <w:b/>
          <w:bCs/>
          <w:sz w:val="18"/>
          <w:szCs w:val="18"/>
        </w:rPr>
      </w:pPr>
      <w:r w:rsidRPr="00E83929">
        <w:rPr>
          <w:rFonts w:ascii="Times New Roman" w:hAnsi="Times New Roman" w:cs="Times New Roman"/>
          <w:b/>
          <w:bCs/>
          <w:sz w:val="18"/>
          <w:szCs w:val="18"/>
        </w:rPr>
        <w:t>Types of Acquisitive Prescription</w:t>
      </w:r>
    </w:p>
    <w:p w14:paraId="777850D1" w14:textId="77777777" w:rsidR="00E83929" w:rsidRPr="00E83929" w:rsidRDefault="00E83929" w:rsidP="00E83929">
      <w:pPr>
        <w:spacing w:line="240" w:lineRule="auto"/>
        <w:rPr>
          <w:rFonts w:ascii="Times New Roman" w:hAnsi="Times New Roman" w:cs="Times New Roman"/>
          <w:b/>
          <w:bCs/>
          <w:sz w:val="18"/>
          <w:szCs w:val="18"/>
        </w:rPr>
      </w:pPr>
      <w:r w:rsidRPr="00780BEF">
        <w:rPr>
          <w:rFonts w:ascii="Times New Roman" w:hAnsi="Times New Roman" w:cs="Times New Roman"/>
          <w:b/>
          <w:bCs/>
          <w:sz w:val="20"/>
          <w:szCs w:val="20"/>
        </w:rPr>
        <w:t>1</w:t>
      </w:r>
      <w:r w:rsidRPr="00E83929">
        <w:rPr>
          <w:rFonts w:ascii="Times New Roman" w:hAnsi="Times New Roman" w:cs="Times New Roman"/>
          <w:b/>
          <w:bCs/>
          <w:sz w:val="18"/>
          <w:szCs w:val="18"/>
        </w:rPr>
        <w:t>. Ordinary Acquisitive Prescription</w:t>
      </w:r>
    </w:p>
    <w:p w14:paraId="5DC153BE" w14:textId="77777777" w:rsidR="00E83929" w:rsidRPr="00E83929" w:rsidRDefault="00E83929">
      <w:pPr>
        <w:pStyle w:val="ListParagraph"/>
        <w:numPr>
          <w:ilvl w:val="0"/>
          <w:numId w:val="10"/>
        </w:numPr>
        <w:spacing w:line="240" w:lineRule="auto"/>
        <w:rPr>
          <w:rFonts w:ascii="Times New Roman" w:hAnsi="Times New Roman" w:cs="Times New Roman"/>
          <w:sz w:val="18"/>
          <w:szCs w:val="18"/>
        </w:rPr>
      </w:pPr>
      <w:r w:rsidRPr="00E83929">
        <w:rPr>
          <w:rFonts w:ascii="Times New Roman" w:hAnsi="Times New Roman" w:cs="Times New Roman"/>
          <w:b/>
          <w:bCs/>
          <w:sz w:val="18"/>
          <w:szCs w:val="18"/>
        </w:rPr>
        <w:t>Immovables:</w:t>
      </w:r>
      <w:r w:rsidRPr="00E83929">
        <w:rPr>
          <w:rFonts w:ascii="Times New Roman" w:hAnsi="Times New Roman" w:cs="Times New Roman"/>
          <w:sz w:val="18"/>
          <w:szCs w:val="18"/>
        </w:rPr>
        <w:t xml:space="preserve"> 10 years</w:t>
      </w:r>
    </w:p>
    <w:p w14:paraId="5CB67690" w14:textId="77777777" w:rsidR="00E83929" w:rsidRPr="00E83929" w:rsidRDefault="00E83929">
      <w:pPr>
        <w:pStyle w:val="ListParagraph"/>
        <w:numPr>
          <w:ilvl w:val="0"/>
          <w:numId w:val="10"/>
        </w:numPr>
        <w:spacing w:line="240" w:lineRule="auto"/>
        <w:rPr>
          <w:rFonts w:ascii="Times New Roman" w:hAnsi="Times New Roman" w:cs="Times New Roman"/>
          <w:sz w:val="18"/>
          <w:szCs w:val="18"/>
        </w:rPr>
      </w:pPr>
      <w:r w:rsidRPr="00E83929">
        <w:rPr>
          <w:rFonts w:ascii="Times New Roman" w:hAnsi="Times New Roman" w:cs="Times New Roman"/>
          <w:b/>
          <w:bCs/>
          <w:sz w:val="18"/>
          <w:szCs w:val="18"/>
        </w:rPr>
        <w:t>Movables:</w:t>
      </w:r>
      <w:r w:rsidRPr="00E83929">
        <w:rPr>
          <w:rFonts w:ascii="Times New Roman" w:hAnsi="Times New Roman" w:cs="Times New Roman"/>
          <w:sz w:val="18"/>
          <w:szCs w:val="18"/>
        </w:rPr>
        <w:t xml:space="preserve"> 4 years</w:t>
      </w:r>
    </w:p>
    <w:p w14:paraId="5EEF6AA5" w14:textId="77777777" w:rsidR="00E83929" w:rsidRPr="00E83929" w:rsidRDefault="00E83929" w:rsidP="00E83929">
      <w:pPr>
        <w:spacing w:line="240" w:lineRule="auto"/>
        <w:ind w:left="360"/>
        <w:rPr>
          <w:rFonts w:ascii="Times New Roman" w:hAnsi="Times New Roman" w:cs="Times New Roman"/>
          <w:sz w:val="18"/>
          <w:szCs w:val="18"/>
        </w:rPr>
      </w:pPr>
      <w:r w:rsidRPr="00E83929">
        <w:rPr>
          <w:rFonts w:ascii="Times New Roman" w:hAnsi="Times New Roman" w:cs="Times New Roman"/>
          <w:b/>
          <w:bCs/>
          <w:sz w:val="18"/>
          <w:szCs w:val="18"/>
        </w:rPr>
        <w:t>Requirements:</w:t>
      </w:r>
    </w:p>
    <w:p w14:paraId="21DB3135" w14:textId="77777777" w:rsidR="00E83929" w:rsidRPr="00E83929" w:rsidRDefault="00E83929">
      <w:pPr>
        <w:pStyle w:val="ListParagraph"/>
        <w:numPr>
          <w:ilvl w:val="0"/>
          <w:numId w:val="11"/>
        </w:numPr>
        <w:spacing w:line="276" w:lineRule="auto"/>
        <w:rPr>
          <w:rFonts w:ascii="Times New Roman" w:hAnsi="Times New Roman" w:cs="Times New Roman"/>
          <w:sz w:val="18"/>
          <w:szCs w:val="18"/>
        </w:rPr>
      </w:pPr>
      <w:r w:rsidRPr="00E83929">
        <w:rPr>
          <w:rFonts w:ascii="Times New Roman" w:hAnsi="Times New Roman" w:cs="Times New Roman"/>
          <w:i/>
          <w:iCs/>
          <w:sz w:val="18"/>
          <w:szCs w:val="18"/>
        </w:rPr>
        <w:t>Good faith</w:t>
      </w:r>
      <w:r w:rsidRPr="00E83929">
        <w:rPr>
          <w:rFonts w:ascii="Times New Roman" w:hAnsi="Times New Roman" w:cs="Times New Roman"/>
          <w:sz w:val="18"/>
          <w:szCs w:val="18"/>
        </w:rPr>
        <w:t xml:space="preserve"> — honest belief that the transferor was the owner.</w:t>
      </w:r>
    </w:p>
    <w:p w14:paraId="70FB7BFE" w14:textId="77777777" w:rsidR="00E83929" w:rsidRPr="00E83929" w:rsidRDefault="00E83929">
      <w:pPr>
        <w:pStyle w:val="ListParagraph"/>
        <w:numPr>
          <w:ilvl w:val="0"/>
          <w:numId w:val="11"/>
        </w:numPr>
        <w:spacing w:line="276" w:lineRule="auto"/>
        <w:rPr>
          <w:rFonts w:ascii="Times New Roman" w:hAnsi="Times New Roman" w:cs="Times New Roman"/>
          <w:sz w:val="18"/>
          <w:szCs w:val="18"/>
        </w:rPr>
      </w:pPr>
      <w:r w:rsidRPr="00E83929">
        <w:rPr>
          <w:rFonts w:ascii="Times New Roman" w:hAnsi="Times New Roman" w:cs="Times New Roman"/>
          <w:i/>
          <w:iCs/>
          <w:sz w:val="18"/>
          <w:szCs w:val="18"/>
        </w:rPr>
        <w:t>Just title</w:t>
      </w:r>
      <w:r w:rsidRPr="00E83929">
        <w:rPr>
          <w:rFonts w:ascii="Times New Roman" w:hAnsi="Times New Roman" w:cs="Times New Roman"/>
          <w:sz w:val="18"/>
          <w:szCs w:val="18"/>
        </w:rPr>
        <w:t xml:space="preserve"> — a valid mode of transfer from someone who was not the true owner.</w:t>
      </w:r>
    </w:p>
    <w:p w14:paraId="7AD0B2E2" w14:textId="77777777" w:rsidR="00E83929" w:rsidRPr="00E83929" w:rsidRDefault="00E83929" w:rsidP="00E83929">
      <w:pPr>
        <w:spacing w:line="240" w:lineRule="auto"/>
        <w:rPr>
          <w:rFonts w:ascii="Times New Roman" w:hAnsi="Times New Roman" w:cs="Times New Roman"/>
          <w:b/>
          <w:bCs/>
          <w:sz w:val="18"/>
          <w:szCs w:val="18"/>
        </w:rPr>
      </w:pPr>
      <w:r w:rsidRPr="00E83929">
        <w:rPr>
          <w:rFonts w:ascii="Times New Roman" w:hAnsi="Times New Roman" w:cs="Times New Roman"/>
          <w:b/>
          <w:bCs/>
          <w:sz w:val="18"/>
          <w:szCs w:val="18"/>
        </w:rPr>
        <w:t>2. Extraordinary Acquisitive Prescription</w:t>
      </w:r>
    </w:p>
    <w:p w14:paraId="336B92CC"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proofErr w:type="gramStart"/>
      <w:r w:rsidRPr="00E83929">
        <w:rPr>
          <w:rFonts w:ascii="Times New Roman" w:hAnsi="Times New Roman" w:cs="Times New Roman"/>
          <w:b/>
          <w:bCs/>
          <w:sz w:val="18"/>
          <w:szCs w:val="18"/>
        </w:rPr>
        <w:t>Immovables</w:t>
      </w:r>
      <w:proofErr w:type="gramEnd"/>
      <w:r w:rsidRPr="00E83929">
        <w:rPr>
          <w:rFonts w:ascii="Times New Roman" w:hAnsi="Times New Roman" w:cs="Times New Roman"/>
          <w:b/>
          <w:bCs/>
          <w:sz w:val="18"/>
          <w:szCs w:val="18"/>
        </w:rPr>
        <w:t>:</w:t>
      </w:r>
      <w:r w:rsidRPr="00E83929">
        <w:rPr>
          <w:rFonts w:ascii="Times New Roman" w:hAnsi="Times New Roman" w:cs="Times New Roman"/>
          <w:sz w:val="18"/>
          <w:szCs w:val="18"/>
        </w:rPr>
        <w:t xml:space="preserve"> 30 years</w:t>
      </w:r>
    </w:p>
    <w:p w14:paraId="40EB57FA"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Movables:</w:t>
      </w:r>
      <w:r w:rsidRPr="00E83929">
        <w:rPr>
          <w:rFonts w:ascii="Times New Roman" w:hAnsi="Times New Roman" w:cs="Times New Roman"/>
          <w:sz w:val="18"/>
          <w:szCs w:val="18"/>
        </w:rPr>
        <w:t xml:space="preserve"> 8 years</w:t>
      </w:r>
    </w:p>
    <w:p w14:paraId="1F9AF0AF"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Requirements:</w:t>
      </w:r>
    </w:p>
    <w:p w14:paraId="16101B68"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color w:val="C00000"/>
          <w:sz w:val="18"/>
          <w:szCs w:val="18"/>
        </w:rPr>
        <w:t>No need for good faith or just title</w:t>
      </w:r>
      <w:r w:rsidRPr="00E83929">
        <w:rPr>
          <w:rFonts w:ascii="Times New Roman" w:hAnsi="Times New Roman" w:cs="Times New Roman"/>
          <w:sz w:val="18"/>
          <w:szCs w:val="18"/>
        </w:rPr>
        <w:t>.</w:t>
      </w:r>
    </w:p>
    <w:p w14:paraId="02F8103E" w14:textId="77777777" w:rsidR="00E83929" w:rsidRPr="00E83929" w:rsidRDefault="00E83929" w:rsidP="00E83929">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Requisites for Prescription to Run</w:t>
      </w:r>
    </w:p>
    <w:p w14:paraId="0193DB7E"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Possession must be:</w:t>
      </w:r>
    </w:p>
    <w:p w14:paraId="20581066"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Open</w:t>
      </w:r>
      <w:r w:rsidRPr="00E83929">
        <w:rPr>
          <w:rFonts w:ascii="Times New Roman" w:hAnsi="Times New Roman" w:cs="Times New Roman"/>
          <w:sz w:val="18"/>
          <w:szCs w:val="18"/>
        </w:rPr>
        <w:t xml:space="preserve"> — visible, not hidden.</w:t>
      </w:r>
    </w:p>
    <w:p w14:paraId="6D79D630"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Continuous</w:t>
      </w:r>
      <w:r w:rsidRPr="00E83929">
        <w:rPr>
          <w:rFonts w:ascii="Times New Roman" w:hAnsi="Times New Roman" w:cs="Times New Roman"/>
          <w:sz w:val="18"/>
          <w:szCs w:val="18"/>
        </w:rPr>
        <w:t xml:space="preserve"> — uninterrupted.</w:t>
      </w:r>
    </w:p>
    <w:p w14:paraId="761AE4E2"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Exclusive</w:t>
      </w:r>
      <w:r w:rsidRPr="00E83929">
        <w:rPr>
          <w:rFonts w:ascii="Times New Roman" w:hAnsi="Times New Roman" w:cs="Times New Roman"/>
          <w:sz w:val="18"/>
          <w:szCs w:val="18"/>
        </w:rPr>
        <w:t xml:space="preserve"> — possessor acts as sole owner.</w:t>
      </w:r>
    </w:p>
    <w:p w14:paraId="00CBBADA"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proofErr w:type="gramStart"/>
      <w:r w:rsidRPr="00E83929">
        <w:rPr>
          <w:rFonts w:ascii="Times New Roman" w:hAnsi="Times New Roman" w:cs="Times New Roman"/>
          <w:b/>
          <w:bCs/>
          <w:sz w:val="18"/>
          <w:szCs w:val="18"/>
        </w:rPr>
        <w:t>Notorious</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known in the community.</w:t>
      </w:r>
    </w:p>
    <w:p w14:paraId="22CBDD57" w14:textId="7BE47FD3"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Adverse / In concept of owner</w:t>
      </w:r>
      <w:r w:rsidRPr="00E83929">
        <w:rPr>
          <w:rFonts w:ascii="Times New Roman" w:hAnsi="Times New Roman" w:cs="Times New Roman"/>
          <w:sz w:val="18"/>
          <w:szCs w:val="18"/>
        </w:rPr>
        <w:t xml:space="preserve"> (</w:t>
      </w:r>
      <w:proofErr w:type="spellStart"/>
      <w:r w:rsidRPr="00E83929">
        <w:rPr>
          <w:rFonts w:ascii="Times New Roman" w:hAnsi="Times New Roman" w:cs="Times New Roman"/>
          <w:i/>
          <w:iCs/>
          <w:sz w:val="18"/>
          <w:szCs w:val="18"/>
        </w:rPr>
        <w:t>en</w:t>
      </w:r>
      <w:proofErr w:type="spellEnd"/>
      <w:r w:rsidRPr="00E83929">
        <w:rPr>
          <w:rFonts w:ascii="Times New Roman" w:hAnsi="Times New Roman" w:cs="Times New Roman"/>
          <w:i/>
          <w:iCs/>
          <w:sz w:val="18"/>
          <w:szCs w:val="18"/>
        </w:rPr>
        <w:t xml:space="preserve"> </w:t>
      </w:r>
      <w:proofErr w:type="spellStart"/>
      <w:r w:rsidRPr="00E83929">
        <w:rPr>
          <w:rFonts w:ascii="Times New Roman" w:hAnsi="Times New Roman" w:cs="Times New Roman"/>
          <w:i/>
          <w:iCs/>
          <w:sz w:val="18"/>
          <w:szCs w:val="18"/>
        </w:rPr>
        <w:t>concepto</w:t>
      </w:r>
      <w:proofErr w:type="spellEnd"/>
      <w:r w:rsidRPr="00E83929">
        <w:rPr>
          <w:rFonts w:ascii="Times New Roman" w:hAnsi="Times New Roman" w:cs="Times New Roman"/>
          <w:i/>
          <w:iCs/>
          <w:sz w:val="18"/>
          <w:szCs w:val="18"/>
        </w:rPr>
        <w:t xml:space="preserve"> de </w:t>
      </w:r>
      <w:proofErr w:type="spellStart"/>
      <w:r w:rsidRPr="00E83929">
        <w:rPr>
          <w:rFonts w:ascii="Times New Roman" w:hAnsi="Times New Roman" w:cs="Times New Roman"/>
          <w:i/>
          <w:iCs/>
          <w:sz w:val="18"/>
          <w:szCs w:val="18"/>
        </w:rPr>
        <w:t>dueño</w:t>
      </w:r>
      <w:proofErr w:type="spellEnd"/>
      <w:r w:rsidRPr="00E83929">
        <w:rPr>
          <w:rFonts w:ascii="Times New Roman" w:hAnsi="Times New Roman" w:cs="Times New Roman"/>
          <w:sz w:val="18"/>
          <w:szCs w:val="18"/>
        </w:rPr>
        <w:t>) — not by tolerance, lease, or agency.</w:t>
      </w:r>
    </w:p>
    <w:p w14:paraId="01F72987"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Additional conditions:</w:t>
      </w:r>
    </w:p>
    <w:p w14:paraId="0200D3A3" w14:textId="77777777" w:rsidR="00E83929" w:rsidRPr="007C5E0A" w:rsidRDefault="00E83929">
      <w:pPr>
        <w:pStyle w:val="ListParagraph"/>
        <w:numPr>
          <w:ilvl w:val="0"/>
          <w:numId w:val="14"/>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Property must be </w:t>
      </w:r>
      <w:r w:rsidRPr="007C5E0A">
        <w:rPr>
          <w:rFonts w:ascii="Times New Roman" w:hAnsi="Times New Roman" w:cs="Times New Roman"/>
          <w:b/>
          <w:bCs/>
          <w:sz w:val="18"/>
          <w:szCs w:val="18"/>
        </w:rPr>
        <w:t>susceptible to prescription</w:t>
      </w:r>
      <w:r w:rsidRPr="007C5E0A">
        <w:rPr>
          <w:rFonts w:ascii="Times New Roman" w:hAnsi="Times New Roman" w:cs="Times New Roman"/>
          <w:sz w:val="18"/>
          <w:szCs w:val="18"/>
        </w:rPr>
        <w:t xml:space="preserve"> (patrimonial property).</w:t>
      </w:r>
    </w:p>
    <w:p w14:paraId="74C3B6CB" w14:textId="77777777" w:rsidR="00E83929" w:rsidRPr="007C5E0A" w:rsidRDefault="00E83929">
      <w:pPr>
        <w:pStyle w:val="ListParagraph"/>
        <w:numPr>
          <w:ilvl w:val="0"/>
          <w:numId w:val="14"/>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Possessor and owner must have </w:t>
      </w:r>
      <w:r w:rsidRPr="007C5E0A">
        <w:rPr>
          <w:rFonts w:ascii="Times New Roman" w:hAnsi="Times New Roman" w:cs="Times New Roman"/>
          <w:b/>
          <w:bCs/>
          <w:sz w:val="18"/>
          <w:szCs w:val="18"/>
        </w:rPr>
        <w:t>capacity</w:t>
      </w:r>
      <w:r w:rsidRPr="007C5E0A">
        <w:rPr>
          <w:rFonts w:ascii="Times New Roman" w:hAnsi="Times New Roman" w:cs="Times New Roman"/>
          <w:sz w:val="18"/>
          <w:szCs w:val="18"/>
        </w:rPr>
        <w:t xml:space="preserve"> to acquire/lose rights.</w:t>
      </w:r>
    </w:p>
    <w:p w14:paraId="13488723" w14:textId="77777777" w:rsidR="00E83929" w:rsidRPr="00E83929" w:rsidRDefault="00E83929" w:rsidP="00E83929">
      <w:pPr>
        <w:spacing w:line="240" w:lineRule="auto"/>
        <w:rPr>
          <w:rFonts w:ascii="Times New Roman" w:hAnsi="Times New Roman" w:cs="Times New Roman"/>
          <w:b/>
          <w:bCs/>
          <w:sz w:val="18"/>
          <w:szCs w:val="18"/>
        </w:rPr>
      </w:pPr>
      <w:r w:rsidRPr="00E83929">
        <w:rPr>
          <w:rFonts w:ascii="Times New Roman" w:hAnsi="Times New Roman" w:cs="Times New Roman"/>
          <w:b/>
          <w:bCs/>
          <w:sz w:val="18"/>
          <w:szCs w:val="18"/>
        </w:rPr>
        <w:t>Properties Not Subject to Acquisitive Prescription</w:t>
      </w:r>
    </w:p>
    <w:p w14:paraId="607507D4" w14:textId="77777777"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r w:rsidRPr="007C5E0A">
        <w:rPr>
          <w:rFonts w:ascii="Times New Roman" w:hAnsi="Times New Roman" w:cs="Times New Roman"/>
          <w:b/>
          <w:bCs/>
          <w:sz w:val="18"/>
          <w:szCs w:val="18"/>
        </w:rPr>
        <w:t xml:space="preserve">Registered land (Torrens </w:t>
      </w:r>
      <w:proofErr w:type="gramStart"/>
      <w:r w:rsidRPr="007C5E0A">
        <w:rPr>
          <w:rFonts w:ascii="Times New Roman" w:hAnsi="Times New Roman" w:cs="Times New Roman"/>
          <w:b/>
          <w:bCs/>
          <w:sz w:val="18"/>
          <w:szCs w:val="18"/>
        </w:rPr>
        <w:t>title)</w:t>
      </w:r>
      <w:r w:rsidRPr="007C5E0A">
        <w:rPr>
          <w:rFonts w:ascii="Times New Roman" w:hAnsi="Times New Roman" w:cs="Times New Roman"/>
          <w:sz w:val="18"/>
          <w:szCs w:val="18"/>
        </w:rPr>
        <w:t xml:space="preserve"> —</w:t>
      </w:r>
      <w:proofErr w:type="gramEnd"/>
      <w:r w:rsidRPr="007C5E0A">
        <w:rPr>
          <w:rFonts w:ascii="Times New Roman" w:hAnsi="Times New Roman" w:cs="Times New Roman"/>
          <w:sz w:val="18"/>
          <w:szCs w:val="18"/>
        </w:rPr>
        <w:t xml:space="preserve"> </w:t>
      </w:r>
      <w:proofErr w:type="gramStart"/>
      <w:r w:rsidRPr="007C5E0A">
        <w:rPr>
          <w:rFonts w:ascii="Times New Roman" w:hAnsi="Times New Roman" w:cs="Times New Roman"/>
          <w:sz w:val="18"/>
          <w:szCs w:val="18"/>
        </w:rPr>
        <w:t>absolutely imprescriptible</w:t>
      </w:r>
      <w:proofErr w:type="gramEnd"/>
      <w:r w:rsidRPr="007C5E0A">
        <w:rPr>
          <w:rFonts w:ascii="Times New Roman" w:hAnsi="Times New Roman" w:cs="Times New Roman"/>
          <w:sz w:val="18"/>
          <w:szCs w:val="18"/>
        </w:rPr>
        <w:t>.</w:t>
      </w:r>
    </w:p>
    <w:p w14:paraId="04BA401D" w14:textId="760DCECF"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proofErr w:type="gramStart"/>
      <w:r w:rsidRPr="007C5E0A">
        <w:rPr>
          <w:rFonts w:ascii="Times New Roman" w:hAnsi="Times New Roman" w:cs="Times New Roman"/>
          <w:b/>
          <w:bCs/>
          <w:sz w:val="18"/>
          <w:szCs w:val="18"/>
        </w:rPr>
        <w:t>Public domain</w:t>
      </w:r>
      <w:proofErr w:type="gramEnd"/>
      <w:r w:rsidRPr="007C5E0A">
        <w:rPr>
          <w:rFonts w:ascii="Times New Roman" w:hAnsi="Times New Roman" w:cs="Times New Roman"/>
          <w:b/>
          <w:bCs/>
          <w:sz w:val="18"/>
          <w:szCs w:val="18"/>
        </w:rPr>
        <w:t xml:space="preserve"> lands</w:t>
      </w:r>
      <w:r w:rsidRPr="007C5E0A">
        <w:rPr>
          <w:rFonts w:ascii="Times New Roman" w:hAnsi="Times New Roman" w:cs="Times New Roman"/>
          <w:sz w:val="18"/>
          <w:szCs w:val="18"/>
        </w:rPr>
        <w:t xml:space="preserve"> unless classified as alienable and disposable.</w:t>
      </w:r>
    </w:p>
    <w:p w14:paraId="783A41D1" w14:textId="48B409DB"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r w:rsidRPr="007C5E0A">
        <w:rPr>
          <w:rFonts w:ascii="Times New Roman" w:hAnsi="Times New Roman" w:cs="Times New Roman"/>
          <w:b/>
          <w:bCs/>
          <w:sz w:val="18"/>
          <w:szCs w:val="18"/>
        </w:rPr>
        <w:t>Property outside commerce of men</w:t>
      </w:r>
      <w:r w:rsidR="00EB1DAA">
        <w:rPr>
          <w:rFonts w:ascii="Times New Roman" w:hAnsi="Times New Roman" w:cs="Times New Roman"/>
          <w:sz w:val="18"/>
          <w:szCs w:val="18"/>
        </w:rPr>
        <w:t xml:space="preserve">, </w:t>
      </w:r>
      <w:r w:rsidRPr="007C5E0A">
        <w:rPr>
          <w:rFonts w:ascii="Times New Roman" w:hAnsi="Times New Roman" w:cs="Times New Roman"/>
          <w:sz w:val="18"/>
          <w:szCs w:val="18"/>
        </w:rPr>
        <w:t>e.g., rivers, roads.</w:t>
      </w:r>
    </w:p>
    <w:p w14:paraId="6DFBF259"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Tacking of Possession</w:t>
      </w:r>
    </w:p>
    <w:p w14:paraId="758D313F"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Successive possessors may combine (</w:t>
      </w:r>
      <w:proofErr w:type="gramStart"/>
      <w:r w:rsidRPr="00E83929">
        <w:rPr>
          <w:rFonts w:ascii="Times New Roman" w:hAnsi="Times New Roman" w:cs="Times New Roman"/>
          <w:sz w:val="18"/>
          <w:szCs w:val="18"/>
        </w:rPr>
        <w:t>tack</w:t>
      </w:r>
      <w:proofErr w:type="gramEnd"/>
      <w:r w:rsidRPr="00E83929">
        <w:rPr>
          <w:rFonts w:ascii="Times New Roman" w:hAnsi="Times New Roman" w:cs="Times New Roman"/>
          <w:sz w:val="18"/>
          <w:szCs w:val="18"/>
        </w:rPr>
        <w:t>) their periods of possession if there is privity between them (e.g., sale, inheritance).</w:t>
      </w:r>
    </w:p>
    <w:p w14:paraId="44A733E6"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Practical Effect</w:t>
      </w:r>
    </w:p>
    <w:p w14:paraId="66BEE6AC" w14:textId="2D981CB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Once the statutory period lapses with all requisites present, the possessor’s title becomes legally recognized, and the original owner’s right to recover the property is extinguished. This ensures stability of property rights and discourages owners from neglecting their land.</w:t>
      </w:r>
      <w:r>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remains a foundational doctrine in Philippine property law, balancing long-term possession with the need for certainty in ownership.</w:t>
      </w:r>
    </w:p>
    <w:p w14:paraId="44A4385D" w14:textId="77777777" w:rsidR="00E83929" w:rsidRPr="00E83929" w:rsidRDefault="00E83929" w:rsidP="00E83929">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Extinctive Prescription</w:t>
      </w:r>
    </w:p>
    <w:p w14:paraId="6B13267E"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lastRenderedPageBreak/>
        <w:t>Definition:</w:t>
      </w:r>
      <w:r w:rsidRPr="00E83929">
        <w:rPr>
          <w:rFonts w:ascii="Times New Roman" w:hAnsi="Times New Roman" w:cs="Times New Roman"/>
          <w:sz w:val="18"/>
          <w:szCs w:val="18"/>
        </w:rPr>
        <w:t xml:space="preserve"> Extinctive prescription, also called </w:t>
      </w:r>
      <w:r w:rsidRPr="00E83929">
        <w:rPr>
          <w:rFonts w:ascii="Times New Roman" w:hAnsi="Times New Roman" w:cs="Times New Roman"/>
          <w:b/>
          <w:bCs/>
          <w:sz w:val="18"/>
          <w:szCs w:val="18"/>
        </w:rPr>
        <w:t>statute of limitations</w:t>
      </w:r>
      <w:r w:rsidRPr="00E83929">
        <w:rPr>
          <w:rFonts w:ascii="Times New Roman" w:hAnsi="Times New Roman" w:cs="Times New Roman"/>
          <w:sz w:val="18"/>
          <w:szCs w:val="18"/>
        </w:rPr>
        <w:t xml:space="preserve"> or </w:t>
      </w:r>
      <w:proofErr w:type="gramStart"/>
      <w:r w:rsidRPr="00E83929">
        <w:rPr>
          <w:rFonts w:ascii="Times New Roman" w:hAnsi="Times New Roman" w:cs="Times New Roman"/>
          <w:b/>
          <w:bCs/>
          <w:sz w:val="18"/>
          <w:szCs w:val="18"/>
        </w:rPr>
        <w:t>limitation</w:t>
      </w:r>
      <w:proofErr w:type="gramEnd"/>
      <w:r w:rsidRPr="00E83929">
        <w:rPr>
          <w:rFonts w:ascii="Times New Roman" w:hAnsi="Times New Roman" w:cs="Times New Roman"/>
          <w:b/>
          <w:bCs/>
          <w:sz w:val="18"/>
          <w:szCs w:val="18"/>
        </w:rPr>
        <w:t xml:space="preserve"> of actions</w:t>
      </w:r>
      <w:r w:rsidRPr="00E83929">
        <w:rPr>
          <w:rFonts w:ascii="Times New Roman" w:hAnsi="Times New Roman" w:cs="Times New Roman"/>
          <w:sz w:val="18"/>
          <w:szCs w:val="18"/>
        </w:rPr>
        <w:t xml:space="preserve">, results in the </w:t>
      </w:r>
      <w:r w:rsidRPr="00E83929">
        <w:rPr>
          <w:rFonts w:ascii="Times New Roman" w:hAnsi="Times New Roman" w:cs="Times New Roman"/>
          <w:b/>
          <w:bCs/>
          <w:sz w:val="18"/>
          <w:szCs w:val="18"/>
        </w:rPr>
        <w:t>loss of rights or the bar of legal actions</w:t>
      </w:r>
      <w:r w:rsidRPr="00E83929">
        <w:rPr>
          <w:rFonts w:ascii="Times New Roman" w:hAnsi="Times New Roman" w:cs="Times New Roman"/>
          <w:sz w:val="18"/>
          <w:szCs w:val="18"/>
        </w:rPr>
        <w:t xml:space="preserve"> if not exercised within the period prescribed by law (Article 1106, par. 2; Article 1139).</w:t>
      </w:r>
    </w:p>
    <w:p w14:paraId="58B8A064"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Key Features:</w:t>
      </w:r>
    </w:p>
    <w:p w14:paraId="3DEDF678"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Purpose:</w:t>
      </w:r>
      <w:r w:rsidRPr="00E83929">
        <w:rPr>
          <w:rFonts w:ascii="Times New Roman" w:hAnsi="Times New Roman" w:cs="Times New Roman"/>
          <w:sz w:val="18"/>
          <w:szCs w:val="18"/>
        </w:rPr>
        <w:t xml:space="preserve"> To extinguish a cause of action or obligation due to inaction over time.</w:t>
      </w:r>
    </w:p>
    <w:p w14:paraId="6D1520C6"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Scope:</w:t>
      </w:r>
      <w:r w:rsidRPr="00E83929">
        <w:rPr>
          <w:rFonts w:ascii="Times New Roman" w:hAnsi="Times New Roman" w:cs="Times New Roman"/>
          <w:sz w:val="18"/>
          <w:szCs w:val="18"/>
        </w:rPr>
        <w:t xml:space="preserve"> Applies to civil and, in some cases, criminal actions, except for certain rights that do not prescribe (e.g., actions to demand a right of way or to abate a nuisance).</w:t>
      </w:r>
    </w:p>
    <w:p w14:paraId="5E973B32"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Effect:</w:t>
      </w:r>
      <w:r w:rsidRPr="00E83929">
        <w:rPr>
          <w:rFonts w:ascii="Times New Roman" w:hAnsi="Times New Roman" w:cs="Times New Roman"/>
          <w:sz w:val="18"/>
          <w:szCs w:val="18"/>
        </w:rPr>
        <w:t xml:space="preserve"> The party barred from filing an action loses the ability to enforce the right, while the opposing party is freed from liability.</w:t>
      </w:r>
    </w:p>
    <w:p w14:paraId="6AC6E353" w14:textId="128EBC6E" w:rsidR="00E83929" w:rsidRPr="00E83929" w:rsidRDefault="00E83929" w:rsidP="007C5E0A">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Key </w:t>
      </w:r>
      <w:r w:rsidR="007C5E0A">
        <w:rPr>
          <w:rFonts w:ascii="Times New Roman" w:hAnsi="Times New Roman" w:cs="Times New Roman"/>
          <w:b/>
          <w:bCs/>
          <w:sz w:val="18"/>
          <w:szCs w:val="18"/>
        </w:rPr>
        <w:t>Distinctions</w:t>
      </w:r>
    </w:p>
    <w:tbl>
      <w:tblPr>
        <w:tblW w:w="10800" w:type="dxa"/>
        <w:tblCellMar>
          <w:left w:w="0" w:type="dxa"/>
          <w:right w:w="0" w:type="dxa"/>
        </w:tblCellMar>
        <w:tblLook w:val="04A0" w:firstRow="1" w:lastRow="0" w:firstColumn="1" w:lastColumn="0" w:noHBand="0" w:noVBand="1"/>
      </w:tblPr>
      <w:tblGrid>
        <w:gridCol w:w="1469"/>
        <w:gridCol w:w="3134"/>
        <w:gridCol w:w="6197"/>
      </w:tblGrid>
      <w:tr w:rsidR="00E83929" w:rsidRPr="007C5E0A" w14:paraId="08CF0EDE" w14:textId="77777777" w:rsidTr="007463D6">
        <w:trPr>
          <w:tblHeader/>
        </w:trPr>
        <w:tc>
          <w:tcPr>
            <w:tcW w:w="0" w:type="auto"/>
            <w:tcBorders>
              <w:top w:val="nil"/>
              <w:left w:val="nil"/>
              <w:bottom w:val="single" w:sz="2" w:space="0" w:color="auto"/>
              <w:right w:val="nil"/>
            </w:tcBorders>
            <w:tcMar>
              <w:top w:w="180" w:type="dxa"/>
              <w:left w:w="240" w:type="dxa"/>
              <w:bottom w:w="180" w:type="dxa"/>
              <w:right w:w="240" w:type="dxa"/>
            </w:tcMar>
            <w:hideMark/>
          </w:tcPr>
          <w:p w14:paraId="6B0BD226"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Feature</w:t>
            </w:r>
          </w:p>
        </w:tc>
        <w:tc>
          <w:tcPr>
            <w:tcW w:w="0" w:type="auto"/>
            <w:tcBorders>
              <w:top w:val="nil"/>
              <w:left w:val="nil"/>
              <w:bottom w:val="single" w:sz="2" w:space="0" w:color="auto"/>
              <w:right w:val="nil"/>
            </w:tcBorders>
            <w:tcMar>
              <w:top w:w="180" w:type="dxa"/>
              <w:left w:w="240" w:type="dxa"/>
              <w:bottom w:w="180" w:type="dxa"/>
              <w:right w:w="240" w:type="dxa"/>
            </w:tcMar>
            <w:hideMark/>
          </w:tcPr>
          <w:p w14:paraId="3F89E454"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Acquisitive Prescription</w:t>
            </w:r>
          </w:p>
        </w:tc>
        <w:tc>
          <w:tcPr>
            <w:tcW w:w="0" w:type="auto"/>
            <w:tcBorders>
              <w:top w:val="nil"/>
              <w:left w:val="nil"/>
              <w:bottom w:val="single" w:sz="2" w:space="0" w:color="auto"/>
              <w:right w:val="nil"/>
            </w:tcBorders>
            <w:tcMar>
              <w:top w:w="180" w:type="dxa"/>
              <w:left w:w="240" w:type="dxa"/>
              <w:bottom w:w="180" w:type="dxa"/>
              <w:right w:w="240" w:type="dxa"/>
            </w:tcMar>
            <w:hideMark/>
          </w:tcPr>
          <w:p w14:paraId="28095358"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Extinctive Prescription</w:t>
            </w:r>
          </w:p>
        </w:tc>
      </w:tr>
      <w:tr w:rsidR="00E83929" w:rsidRPr="007C5E0A" w14:paraId="5CE1568A"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0A7A2176"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Purpose</w:t>
            </w:r>
          </w:p>
        </w:tc>
        <w:tc>
          <w:tcPr>
            <w:tcW w:w="0" w:type="auto"/>
            <w:tcBorders>
              <w:top w:val="nil"/>
              <w:left w:val="nil"/>
              <w:bottom w:val="single" w:sz="2" w:space="0" w:color="auto"/>
              <w:right w:val="nil"/>
            </w:tcBorders>
            <w:tcMar>
              <w:top w:w="180" w:type="dxa"/>
              <w:left w:w="240" w:type="dxa"/>
              <w:bottom w:w="180" w:type="dxa"/>
              <w:right w:w="240" w:type="dxa"/>
            </w:tcMar>
            <w:hideMark/>
          </w:tcPr>
          <w:p w14:paraId="0A6251EF"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To acquire ownership or rights</w:t>
            </w:r>
          </w:p>
        </w:tc>
        <w:tc>
          <w:tcPr>
            <w:tcW w:w="0" w:type="auto"/>
            <w:tcBorders>
              <w:top w:val="nil"/>
              <w:left w:val="nil"/>
              <w:bottom w:val="single" w:sz="2" w:space="0" w:color="auto"/>
              <w:right w:val="nil"/>
            </w:tcBorders>
            <w:tcMar>
              <w:top w:w="180" w:type="dxa"/>
              <w:left w:w="240" w:type="dxa"/>
              <w:bottom w:w="180" w:type="dxa"/>
              <w:right w:w="240" w:type="dxa"/>
            </w:tcMar>
            <w:hideMark/>
          </w:tcPr>
          <w:p w14:paraId="78EDFBC9"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To extinguish rights or bar actions</w:t>
            </w:r>
          </w:p>
        </w:tc>
      </w:tr>
      <w:tr w:rsidR="00E83929" w:rsidRPr="007C5E0A" w14:paraId="3CB41C99"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4BC1C42C"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Legal Effect</w:t>
            </w:r>
          </w:p>
        </w:tc>
        <w:tc>
          <w:tcPr>
            <w:tcW w:w="0" w:type="auto"/>
            <w:tcBorders>
              <w:top w:val="nil"/>
              <w:left w:val="nil"/>
              <w:bottom w:val="single" w:sz="2" w:space="0" w:color="auto"/>
              <w:right w:val="nil"/>
            </w:tcBorders>
            <w:tcMar>
              <w:top w:w="180" w:type="dxa"/>
              <w:left w:w="240" w:type="dxa"/>
              <w:bottom w:w="180" w:type="dxa"/>
              <w:right w:w="240" w:type="dxa"/>
            </w:tcMar>
            <w:hideMark/>
          </w:tcPr>
          <w:p w14:paraId="638FB63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Possessor gains ownership; previous owner loses property</w:t>
            </w:r>
          </w:p>
        </w:tc>
        <w:tc>
          <w:tcPr>
            <w:tcW w:w="0" w:type="auto"/>
            <w:tcBorders>
              <w:top w:val="nil"/>
              <w:left w:val="nil"/>
              <w:bottom w:val="single" w:sz="2" w:space="0" w:color="auto"/>
              <w:right w:val="nil"/>
            </w:tcBorders>
            <w:tcMar>
              <w:top w:w="180" w:type="dxa"/>
              <w:left w:w="240" w:type="dxa"/>
              <w:bottom w:w="180" w:type="dxa"/>
              <w:right w:w="240" w:type="dxa"/>
            </w:tcMar>
            <w:hideMark/>
          </w:tcPr>
          <w:p w14:paraId="1B4EE501" w14:textId="0232D057" w:rsidR="00E83929" w:rsidRPr="007C5E0A" w:rsidRDefault="00E83929" w:rsidP="00EB1DAA">
            <w:pPr>
              <w:spacing w:line="240" w:lineRule="auto"/>
              <w:rPr>
                <w:rFonts w:ascii="Times New Roman" w:hAnsi="Times New Roman" w:cs="Times New Roman"/>
                <w:sz w:val="16"/>
                <w:szCs w:val="16"/>
              </w:rPr>
            </w:pPr>
            <w:r w:rsidRPr="007C5E0A">
              <w:rPr>
                <w:rFonts w:ascii="Times New Roman" w:hAnsi="Times New Roman" w:cs="Times New Roman"/>
                <w:sz w:val="16"/>
                <w:szCs w:val="16"/>
              </w:rPr>
              <w:t xml:space="preserve">Right-holder loses the ability to enforce a </w:t>
            </w:r>
            <w:proofErr w:type="gramStart"/>
            <w:r w:rsidRPr="007C5E0A">
              <w:rPr>
                <w:rFonts w:ascii="Times New Roman" w:hAnsi="Times New Roman" w:cs="Times New Roman"/>
                <w:sz w:val="16"/>
                <w:szCs w:val="16"/>
              </w:rPr>
              <w:t>claim;</w:t>
            </w:r>
            <w:r w:rsidR="00EB1DAA">
              <w:rPr>
                <w:rFonts w:ascii="Times New Roman" w:hAnsi="Times New Roman" w:cs="Times New Roman"/>
                <w:sz w:val="16"/>
                <w:szCs w:val="16"/>
              </w:rPr>
              <w:t xml:space="preserve">   </w:t>
            </w:r>
            <w:proofErr w:type="gramEnd"/>
            <w:r w:rsidR="00EB1DAA">
              <w:rPr>
                <w:rFonts w:ascii="Times New Roman" w:hAnsi="Times New Roman" w:cs="Times New Roman"/>
                <w:sz w:val="16"/>
                <w:szCs w:val="16"/>
              </w:rPr>
              <w:t xml:space="preserve">                                                     </w:t>
            </w:r>
            <w:r w:rsidRPr="007C5E0A">
              <w:rPr>
                <w:rFonts w:ascii="Times New Roman" w:hAnsi="Times New Roman" w:cs="Times New Roman"/>
                <w:sz w:val="16"/>
                <w:szCs w:val="16"/>
              </w:rPr>
              <w:t>opposite party is liberated from obligation</w:t>
            </w:r>
          </w:p>
        </w:tc>
      </w:tr>
      <w:tr w:rsidR="00E83929" w:rsidRPr="007C5E0A" w14:paraId="30F50BAE"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64B9ED20"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Requirement</w:t>
            </w:r>
          </w:p>
        </w:tc>
        <w:tc>
          <w:tcPr>
            <w:tcW w:w="0" w:type="auto"/>
            <w:tcBorders>
              <w:top w:val="nil"/>
              <w:left w:val="nil"/>
              <w:bottom w:val="single" w:sz="2" w:space="0" w:color="auto"/>
              <w:right w:val="nil"/>
            </w:tcBorders>
            <w:tcMar>
              <w:top w:w="180" w:type="dxa"/>
              <w:left w:w="240" w:type="dxa"/>
              <w:bottom w:w="180" w:type="dxa"/>
              <w:right w:w="240" w:type="dxa"/>
            </w:tcMar>
            <w:hideMark/>
          </w:tcPr>
          <w:p w14:paraId="4BCAD2C5"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Continuous possession, sometimes with good faith and just title</w:t>
            </w:r>
          </w:p>
        </w:tc>
        <w:tc>
          <w:tcPr>
            <w:tcW w:w="0" w:type="auto"/>
            <w:tcBorders>
              <w:top w:val="nil"/>
              <w:left w:val="nil"/>
              <w:bottom w:val="single" w:sz="2" w:space="0" w:color="auto"/>
              <w:right w:val="nil"/>
            </w:tcBorders>
            <w:tcMar>
              <w:top w:w="180" w:type="dxa"/>
              <w:left w:w="240" w:type="dxa"/>
              <w:bottom w:w="180" w:type="dxa"/>
              <w:right w:w="240" w:type="dxa"/>
            </w:tcMar>
            <w:hideMark/>
          </w:tcPr>
          <w:p w14:paraId="3F04A9D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Inaction or failure to file a claim within the prescriptive period</w:t>
            </w:r>
          </w:p>
        </w:tc>
      </w:tr>
      <w:tr w:rsidR="00E83929" w:rsidRPr="007C5E0A" w14:paraId="602ABBB9"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43CDD2E0"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Applicable Cases</w:t>
            </w:r>
          </w:p>
        </w:tc>
        <w:tc>
          <w:tcPr>
            <w:tcW w:w="0" w:type="auto"/>
            <w:tcBorders>
              <w:top w:val="nil"/>
              <w:left w:val="nil"/>
              <w:bottom w:val="single" w:sz="2" w:space="0" w:color="auto"/>
              <w:right w:val="nil"/>
            </w:tcBorders>
            <w:tcMar>
              <w:top w:w="180" w:type="dxa"/>
              <w:left w:w="240" w:type="dxa"/>
              <w:bottom w:w="180" w:type="dxa"/>
              <w:right w:w="240" w:type="dxa"/>
            </w:tcMar>
            <w:hideMark/>
          </w:tcPr>
          <w:p w14:paraId="4A1FABD9"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Civil property cases</w:t>
            </w:r>
          </w:p>
        </w:tc>
        <w:tc>
          <w:tcPr>
            <w:tcW w:w="0" w:type="auto"/>
            <w:tcBorders>
              <w:top w:val="nil"/>
              <w:left w:val="nil"/>
              <w:bottom w:val="single" w:sz="2" w:space="0" w:color="auto"/>
              <w:right w:val="nil"/>
            </w:tcBorders>
            <w:tcMar>
              <w:top w:w="180" w:type="dxa"/>
              <w:left w:w="240" w:type="dxa"/>
              <w:bottom w:w="180" w:type="dxa"/>
              <w:right w:w="240" w:type="dxa"/>
            </w:tcMar>
            <w:hideMark/>
          </w:tcPr>
          <w:p w14:paraId="3C1080D2"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Civil and some criminal actions</w:t>
            </w:r>
          </w:p>
        </w:tc>
      </w:tr>
      <w:tr w:rsidR="00E83929" w:rsidRPr="007C5E0A" w14:paraId="0C999750" w14:textId="77777777" w:rsidTr="007463D6">
        <w:tc>
          <w:tcPr>
            <w:tcW w:w="0" w:type="auto"/>
            <w:tcBorders>
              <w:top w:val="nil"/>
              <w:left w:val="nil"/>
              <w:bottom w:val="nil"/>
              <w:right w:val="nil"/>
            </w:tcBorders>
            <w:tcMar>
              <w:top w:w="180" w:type="dxa"/>
              <w:left w:w="240" w:type="dxa"/>
              <w:bottom w:w="180" w:type="dxa"/>
              <w:right w:w="240" w:type="dxa"/>
            </w:tcMar>
            <w:hideMark/>
          </w:tcPr>
          <w:p w14:paraId="62709454"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Time Frame</w:t>
            </w:r>
          </w:p>
        </w:tc>
        <w:tc>
          <w:tcPr>
            <w:tcW w:w="0" w:type="auto"/>
            <w:tcBorders>
              <w:top w:val="nil"/>
              <w:left w:val="nil"/>
              <w:bottom w:val="nil"/>
              <w:right w:val="nil"/>
            </w:tcBorders>
            <w:tcMar>
              <w:top w:w="180" w:type="dxa"/>
              <w:left w:w="240" w:type="dxa"/>
              <w:bottom w:w="180" w:type="dxa"/>
              <w:right w:w="240" w:type="dxa"/>
            </w:tcMar>
            <w:hideMark/>
          </w:tcPr>
          <w:p w14:paraId="13F7387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Varies: 4–30 years depending on property type and conditions</w:t>
            </w:r>
          </w:p>
        </w:tc>
        <w:tc>
          <w:tcPr>
            <w:tcW w:w="0" w:type="auto"/>
            <w:tcBorders>
              <w:top w:val="nil"/>
              <w:left w:val="nil"/>
              <w:bottom w:val="nil"/>
              <w:right w:val="nil"/>
            </w:tcBorders>
            <w:tcMar>
              <w:top w:w="180" w:type="dxa"/>
              <w:left w:w="240" w:type="dxa"/>
              <w:bottom w:w="180" w:type="dxa"/>
              <w:right w:w="240" w:type="dxa"/>
            </w:tcMar>
            <w:hideMark/>
          </w:tcPr>
          <w:p w14:paraId="0E3E719F" w14:textId="52807E84" w:rsidR="00E83929" w:rsidRPr="007C5E0A" w:rsidRDefault="00E83929" w:rsidP="00EB1DAA">
            <w:pPr>
              <w:spacing w:line="240" w:lineRule="auto"/>
              <w:rPr>
                <w:rFonts w:ascii="Times New Roman" w:hAnsi="Times New Roman" w:cs="Times New Roman"/>
                <w:sz w:val="16"/>
                <w:szCs w:val="16"/>
              </w:rPr>
            </w:pPr>
            <w:r w:rsidRPr="007C5E0A">
              <w:rPr>
                <w:rFonts w:ascii="Times New Roman" w:hAnsi="Times New Roman" w:cs="Times New Roman"/>
                <w:sz w:val="16"/>
                <w:szCs w:val="16"/>
              </w:rPr>
              <w:t xml:space="preserve">Varies depending on the type of action; failure </w:t>
            </w:r>
            <w:r w:rsidR="00EB1DAA" w:rsidRPr="007C5E0A">
              <w:rPr>
                <w:rFonts w:ascii="Times New Roman" w:hAnsi="Times New Roman" w:cs="Times New Roman"/>
                <w:sz w:val="16"/>
                <w:szCs w:val="16"/>
              </w:rPr>
              <w:t>to act within</w:t>
            </w:r>
            <w:r w:rsidR="00EB1DAA">
              <w:rPr>
                <w:rFonts w:ascii="Times New Roman" w:hAnsi="Times New Roman" w:cs="Times New Roman"/>
                <w:sz w:val="16"/>
                <w:szCs w:val="16"/>
              </w:rPr>
              <w:t xml:space="preserve"> the period                                                                                                        </w:t>
            </w:r>
            <w:r w:rsidRPr="007C5E0A">
              <w:rPr>
                <w:rFonts w:ascii="Times New Roman" w:hAnsi="Times New Roman" w:cs="Times New Roman"/>
                <w:sz w:val="16"/>
                <w:szCs w:val="16"/>
              </w:rPr>
              <w:t>bars the claim</w:t>
            </w:r>
          </w:p>
        </w:tc>
      </w:tr>
    </w:tbl>
    <w:p w14:paraId="7B4E9487" w14:textId="77777777" w:rsidR="00E83929" w:rsidRPr="00E83929" w:rsidRDefault="00E83929" w:rsidP="007C5E0A">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Summary</w:t>
      </w:r>
    </w:p>
    <w:p w14:paraId="10A4EF4A"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Acquisitive prescription </w:t>
      </w:r>
      <w:r w:rsidRPr="00E83929">
        <w:rPr>
          <w:rFonts w:ascii="Times New Roman" w:hAnsi="Times New Roman" w:cs="Times New Roman"/>
          <w:b/>
          <w:bCs/>
          <w:sz w:val="18"/>
          <w:szCs w:val="18"/>
        </w:rPr>
        <w:t>creates a new right</w:t>
      </w:r>
      <w:r w:rsidRPr="00E83929">
        <w:rPr>
          <w:rFonts w:ascii="Times New Roman" w:hAnsi="Times New Roman" w:cs="Times New Roman"/>
          <w:sz w:val="18"/>
          <w:szCs w:val="18"/>
        </w:rPr>
        <w:t xml:space="preserve"> in favor of the possessor, effectively transferring ownership, while extinctive prescription </w:t>
      </w:r>
      <w:r w:rsidRPr="00E83929">
        <w:rPr>
          <w:rFonts w:ascii="Times New Roman" w:hAnsi="Times New Roman" w:cs="Times New Roman"/>
          <w:b/>
          <w:bCs/>
          <w:sz w:val="18"/>
          <w:szCs w:val="18"/>
        </w:rPr>
        <w:t>removes an existing right</w:t>
      </w:r>
      <w:r w:rsidRPr="00E83929">
        <w:rPr>
          <w:rFonts w:ascii="Times New Roman" w:hAnsi="Times New Roman" w:cs="Times New Roman"/>
          <w:sz w:val="18"/>
          <w:szCs w:val="18"/>
        </w:rPr>
        <w:t xml:space="preserve"> or bars legal action due to the lapse of time. Both are governed by the Civil Code of the Philippines but serve opposite legal functions: one </w:t>
      </w:r>
      <w:r w:rsidRPr="00E83929">
        <w:rPr>
          <w:rFonts w:ascii="Times New Roman" w:hAnsi="Times New Roman" w:cs="Times New Roman"/>
          <w:b/>
          <w:bCs/>
          <w:sz w:val="18"/>
          <w:szCs w:val="18"/>
        </w:rPr>
        <w:t>vests rights</w:t>
      </w:r>
      <w:r w:rsidRPr="00E83929">
        <w:rPr>
          <w:rFonts w:ascii="Times New Roman" w:hAnsi="Times New Roman" w:cs="Times New Roman"/>
          <w:sz w:val="18"/>
          <w:szCs w:val="18"/>
        </w:rPr>
        <w:t xml:space="preserve">, the other </w:t>
      </w:r>
      <w:r w:rsidRPr="00E83929">
        <w:rPr>
          <w:rFonts w:ascii="Times New Roman" w:hAnsi="Times New Roman" w:cs="Times New Roman"/>
          <w:b/>
          <w:bCs/>
          <w:sz w:val="18"/>
          <w:szCs w:val="18"/>
        </w:rPr>
        <w:t>extinguishes them</w:t>
      </w:r>
      <w:r w:rsidRPr="00E83929">
        <w:rPr>
          <w:rFonts w:ascii="Times New Roman" w:hAnsi="Times New Roman" w:cs="Times New Roman"/>
          <w:sz w:val="18"/>
          <w:szCs w:val="18"/>
        </w:rPr>
        <w:t xml:space="preserve"> </w:t>
      </w:r>
    </w:p>
    <w:p w14:paraId="227CA142" w14:textId="77777777" w:rsidR="00E83929" w:rsidRPr="00E83929" w:rsidRDefault="00E83929" w:rsidP="007C5E0A">
      <w:pPr>
        <w:shd w:val="clear" w:color="auto" w:fill="000000" w:themeFill="text1"/>
        <w:spacing w:line="240" w:lineRule="auto"/>
        <w:jc w:val="center"/>
        <w:rPr>
          <w:rFonts w:ascii="Times New Roman" w:hAnsi="Times New Roman" w:cs="Times New Roman"/>
          <w:sz w:val="18"/>
          <w:szCs w:val="18"/>
        </w:rPr>
      </w:pPr>
      <w:r w:rsidRPr="00E83929">
        <w:rPr>
          <w:rFonts w:ascii="Times New Roman" w:hAnsi="Times New Roman" w:cs="Times New Roman"/>
          <w:b/>
          <w:bCs/>
          <w:sz w:val="18"/>
          <w:szCs w:val="18"/>
          <w:lang w:val="en"/>
        </w:rPr>
        <w:t>Usucaption</w:t>
      </w:r>
    </w:p>
    <w:p w14:paraId="22431D5F" w14:textId="197994ED" w:rsidR="00E83929" w:rsidRPr="007C5E0A" w:rsidRDefault="00E83929" w:rsidP="00E83929">
      <w:pPr>
        <w:spacing w:line="240" w:lineRule="auto"/>
        <w:jc w:val="both"/>
        <w:rPr>
          <w:rFonts w:ascii="Times New Roman" w:hAnsi="Times New Roman" w:cs="Times New Roman"/>
          <w:sz w:val="18"/>
          <w:szCs w:val="18"/>
        </w:rPr>
      </w:pPr>
      <w:r w:rsidRPr="007C5E0A">
        <w:rPr>
          <w:rFonts w:ascii="Times New Roman" w:hAnsi="Times New Roman" w:cs="Times New Roman"/>
          <w:b/>
          <w:bCs/>
          <w:sz w:val="18"/>
          <w:szCs w:val="18"/>
        </w:rPr>
        <w:t>Usucaption</w:t>
      </w:r>
      <w:r w:rsidRP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from </w:t>
      </w:r>
      <w:r w:rsidRPr="007C5E0A">
        <w:rPr>
          <w:rFonts w:ascii="Times New Roman" w:hAnsi="Times New Roman" w:cs="Times New Roman"/>
          <w:sz w:val="18"/>
          <w:szCs w:val="18"/>
        </w:rPr>
        <w:t xml:space="preserve">Latin: </w:t>
      </w:r>
      <w:r w:rsidRPr="007C5E0A">
        <w:rPr>
          <w:rFonts w:ascii="Times New Roman" w:hAnsi="Times New Roman" w:cs="Times New Roman"/>
          <w:i/>
          <w:iCs/>
          <w:sz w:val="18"/>
          <w:szCs w:val="18"/>
          <w:lang w:val="la-Latn"/>
        </w:rPr>
        <w:t>usucapio</w:t>
      </w:r>
      <w:r w:rsidRPr="007C5E0A">
        <w:rPr>
          <w:rFonts w:ascii="Times New Roman" w:hAnsi="Times New Roman" w:cs="Times New Roman"/>
          <w:sz w:val="18"/>
          <w:szCs w:val="18"/>
        </w:rPr>
        <w:t xml:space="preserve">, also known as </w:t>
      </w:r>
      <w:r w:rsidRPr="007C5E0A">
        <w:rPr>
          <w:rFonts w:ascii="Times New Roman" w:hAnsi="Times New Roman" w:cs="Times New Roman"/>
          <w:i/>
          <w:iCs/>
          <w:sz w:val="18"/>
          <w:szCs w:val="18"/>
        </w:rPr>
        <w:t>acquisitive prescription</w:t>
      </w:r>
      <w:r w:rsidRPr="007C5E0A">
        <w:rPr>
          <w:rFonts w:ascii="Times New Roman" w:hAnsi="Times New Roman" w:cs="Times New Roman"/>
          <w:sz w:val="18"/>
          <w:szCs w:val="18"/>
        </w:rPr>
        <w:t>, is a concept found in civi</w:t>
      </w:r>
      <w:r w:rsidR="007C5E0A" w:rsidRPr="007C5E0A">
        <w:rPr>
          <w:rFonts w:ascii="Times New Roman" w:hAnsi="Times New Roman" w:cs="Times New Roman"/>
          <w:sz w:val="18"/>
          <w:szCs w:val="18"/>
        </w:rPr>
        <w:t xml:space="preserve">l or private </w:t>
      </w:r>
      <w:r w:rsidRPr="007C5E0A">
        <w:rPr>
          <w:rFonts w:ascii="Times New Roman" w:hAnsi="Times New Roman" w:cs="Times New Roman"/>
          <w:sz w:val="18"/>
          <w:szCs w:val="18"/>
        </w:rPr>
        <w:t>law systems and has its origin in the Roman law of property.</w:t>
      </w:r>
    </w:p>
    <w:p w14:paraId="27DB5C67" w14:textId="3A829853" w:rsidR="007C5E0A" w:rsidRPr="007C5E0A" w:rsidRDefault="00E83929" w:rsidP="007C5E0A">
      <w:pPr>
        <w:jc w:val="both"/>
        <w:rPr>
          <w:rFonts w:ascii="Times New Roman" w:hAnsi="Times New Roman" w:cs="Times New Roman"/>
          <w:sz w:val="18"/>
          <w:szCs w:val="18"/>
        </w:rPr>
      </w:pPr>
      <w:r w:rsidRPr="007C5E0A">
        <w:rPr>
          <w:rFonts w:ascii="Times New Roman" w:hAnsi="Times New Roman" w:cs="Times New Roman"/>
          <w:sz w:val="18"/>
          <w:szCs w:val="18"/>
        </w:rPr>
        <w:t>Usucaption is a method by which ownership of property</w:t>
      </w:r>
      <w:r w:rsidR="007C5E0A" w:rsidRPr="007C5E0A">
        <w:rPr>
          <w:rFonts w:ascii="Times New Roman" w:hAnsi="Times New Roman" w:cs="Times New Roman"/>
          <w:sz w:val="18"/>
          <w:szCs w:val="18"/>
        </w:rPr>
        <w:t xml:space="preserve">, </w:t>
      </w:r>
      <w:r w:rsidRPr="007C5E0A">
        <w:rPr>
          <w:rFonts w:ascii="Times New Roman" w:hAnsi="Times New Roman" w:cs="Times New Roman"/>
          <w:sz w:val="18"/>
          <w:szCs w:val="18"/>
        </w:rPr>
        <w:t>i.e., title to the property</w:t>
      </w:r>
      <w:r w:rsidR="007C5E0A" w:rsidRPr="007C5E0A">
        <w:rPr>
          <w:rFonts w:ascii="Times New Roman" w:hAnsi="Times New Roman" w:cs="Times New Roman"/>
          <w:sz w:val="18"/>
          <w:szCs w:val="18"/>
        </w:rPr>
        <w:t>,</w:t>
      </w:r>
      <w:r w:rsidRPr="007C5E0A">
        <w:rPr>
          <w:rFonts w:ascii="Times New Roman" w:hAnsi="Times New Roman" w:cs="Times New Roman"/>
          <w:sz w:val="18"/>
          <w:szCs w:val="18"/>
        </w:rPr>
        <w:t xml:space="preserve"> can be gained by possession of it beyond the lapse of a certain </w:t>
      </w:r>
      <w:proofErr w:type="gramStart"/>
      <w:r w:rsidRPr="007C5E0A">
        <w:rPr>
          <w:rFonts w:ascii="Times New Roman" w:hAnsi="Times New Roman" w:cs="Times New Roman"/>
          <w:sz w:val="18"/>
          <w:szCs w:val="18"/>
        </w:rPr>
        <w:t>period of time</w:t>
      </w:r>
      <w:proofErr w:type="gramEnd"/>
      <w:r w:rsidRP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or </w:t>
      </w:r>
      <w:r w:rsidRPr="007C5E0A">
        <w:rPr>
          <w:rFonts w:ascii="Times New Roman" w:hAnsi="Times New Roman" w:cs="Times New Roman"/>
          <w:sz w:val="18"/>
          <w:szCs w:val="18"/>
        </w:rPr>
        <w:t xml:space="preserve">acquiescence. </w:t>
      </w:r>
      <w:r w:rsidR="007C5E0A" w:rsidRPr="007C5E0A">
        <w:rPr>
          <w:rFonts w:ascii="Times New Roman" w:hAnsi="Times New Roman" w:cs="Times New Roman"/>
          <w:sz w:val="18"/>
          <w:szCs w:val="18"/>
        </w:rPr>
        <w:t xml:space="preserve">n law, </w:t>
      </w:r>
      <w:r w:rsidR="007C5E0A" w:rsidRPr="007C5E0A">
        <w:rPr>
          <w:rFonts w:ascii="Times New Roman" w:hAnsi="Times New Roman" w:cs="Times New Roman"/>
          <w:b/>
          <w:bCs/>
          <w:sz w:val="18"/>
          <w:szCs w:val="18"/>
        </w:rPr>
        <w:t>acquiescence</w:t>
      </w:r>
      <w:r w:rsidR="007C5E0A" w:rsidRPr="007C5E0A">
        <w:rPr>
          <w:rFonts w:ascii="Times New Roman" w:hAnsi="Times New Roman" w:cs="Times New Roman"/>
          <w:sz w:val="18"/>
          <w:szCs w:val="18"/>
        </w:rPr>
        <w:t xml:space="preserve"> occurs when a person knowingly stands by, without raising any objection to the infringement of their rights, while someone else unknowingly and without malice aforethought acts in a manner inconsistent with their rights. As a result of acquiescence, the person whose rights are infringed may lose the ability to make a legal claim against the </w:t>
      </w:r>
      <w:proofErr w:type="gramStart"/>
      <w:r w:rsidR="007C5E0A" w:rsidRPr="007C5E0A">
        <w:rPr>
          <w:rFonts w:ascii="Times New Roman" w:hAnsi="Times New Roman" w:cs="Times New Roman"/>
          <w:sz w:val="18"/>
          <w:szCs w:val="18"/>
        </w:rPr>
        <w:t>infringer, or</w:t>
      </w:r>
      <w:proofErr w:type="gramEnd"/>
      <w:r w:rsidR="007C5E0A" w:rsidRPr="007C5E0A">
        <w:rPr>
          <w:rFonts w:ascii="Times New Roman" w:hAnsi="Times New Roman" w:cs="Times New Roman"/>
          <w:sz w:val="18"/>
          <w:szCs w:val="18"/>
        </w:rPr>
        <w:t xml:space="preserve"> may be unable to obtain an injunction against continued infringement. The doctrine infers a form of "permission" that results from silence or passiveness over an extended </w:t>
      </w:r>
      <w:proofErr w:type="gramStart"/>
      <w:r w:rsidR="007C5E0A" w:rsidRPr="007C5E0A">
        <w:rPr>
          <w:rFonts w:ascii="Times New Roman" w:hAnsi="Times New Roman" w:cs="Times New Roman"/>
          <w:sz w:val="18"/>
          <w:szCs w:val="18"/>
        </w:rPr>
        <w:t>period of time</w:t>
      </w:r>
      <w:proofErr w:type="gramEnd"/>
      <w:r w:rsidR="007C5E0A" w:rsidRPr="007C5E0A">
        <w:rPr>
          <w:rFonts w:ascii="Times New Roman" w:hAnsi="Times New Roman" w:cs="Times New Roman"/>
          <w:sz w:val="18"/>
          <w:szCs w:val="18"/>
        </w:rPr>
        <w:t>.</w:t>
      </w:r>
      <w:r w:rsid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Although not typically found in statutory law, the doctrine of acquiescence is well-supported by case law. One common context in which acquiescence is raised is when there is a dispute or disagreement over the location of a property line, followed by an extended </w:t>
      </w:r>
      <w:proofErr w:type="gramStart"/>
      <w:r w:rsidR="007C5E0A" w:rsidRPr="007C5E0A">
        <w:rPr>
          <w:rFonts w:ascii="Times New Roman" w:hAnsi="Times New Roman" w:cs="Times New Roman"/>
          <w:sz w:val="18"/>
          <w:szCs w:val="18"/>
        </w:rPr>
        <w:t>period of time</w:t>
      </w:r>
      <w:proofErr w:type="gramEnd"/>
      <w:r w:rsidR="007C5E0A" w:rsidRPr="007C5E0A">
        <w:rPr>
          <w:rFonts w:ascii="Times New Roman" w:hAnsi="Times New Roman" w:cs="Times New Roman"/>
          <w:sz w:val="18"/>
          <w:szCs w:val="18"/>
        </w:rPr>
        <w:t xml:space="preserve"> during which the parties respect a property line. Even if it is later discovered that the actual property line was in a different location, the long-term acquiescence to the incorrectly placed line may result in </w:t>
      </w:r>
      <w:proofErr w:type="gramStart"/>
      <w:r w:rsidR="007C5E0A" w:rsidRPr="007C5E0A">
        <w:rPr>
          <w:rFonts w:ascii="Times New Roman" w:hAnsi="Times New Roman" w:cs="Times New Roman"/>
          <w:sz w:val="18"/>
          <w:szCs w:val="18"/>
        </w:rPr>
        <w:t>its</w:t>
      </w:r>
      <w:proofErr w:type="gramEnd"/>
      <w:r w:rsidR="007C5E0A" w:rsidRPr="007C5E0A">
        <w:rPr>
          <w:rFonts w:ascii="Times New Roman" w:hAnsi="Times New Roman" w:cs="Times New Roman"/>
          <w:sz w:val="18"/>
          <w:szCs w:val="18"/>
        </w:rPr>
        <w:t xml:space="preserve"> becoming enforceable as the legal property line.</w:t>
      </w:r>
    </w:p>
    <w:p w14:paraId="03CA886D" w14:textId="230B3F4E"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While usucaption has been compared with </w:t>
      </w:r>
      <w:r w:rsidRPr="007C5E0A">
        <w:rPr>
          <w:rFonts w:ascii="Times New Roman" w:hAnsi="Times New Roman" w:cs="Times New Roman"/>
          <w:sz w:val="18"/>
          <w:szCs w:val="18"/>
        </w:rPr>
        <w:t>adverse possession</w:t>
      </w:r>
      <w:r w:rsidRPr="00E83929">
        <w:rPr>
          <w:rFonts w:ascii="Times New Roman" w:hAnsi="Times New Roman" w:cs="Times New Roman"/>
          <w:sz w:val="18"/>
          <w:szCs w:val="18"/>
        </w:rPr>
        <w:t xml:space="preserve">, the true effect of usucaption is to remedy defects in title of lands that are without </w:t>
      </w:r>
      <w:r w:rsidRPr="007C5E0A">
        <w:rPr>
          <w:rFonts w:ascii="Times New Roman" w:hAnsi="Times New Roman" w:cs="Times New Roman"/>
          <w:sz w:val="18"/>
          <w:szCs w:val="18"/>
        </w:rPr>
        <w:t>encumbrance</w:t>
      </w:r>
      <w:r w:rsidRPr="00E83929">
        <w:rPr>
          <w:rFonts w:ascii="Times New Roman" w:hAnsi="Times New Roman" w:cs="Times New Roman"/>
          <w:sz w:val="18"/>
          <w:szCs w:val="18"/>
        </w:rPr>
        <w:t xml:space="preserve"> on them.</w:t>
      </w:r>
    </w:p>
    <w:p w14:paraId="0BE078F2" w14:textId="2E010EFF" w:rsidR="00E83929" w:rsidRPr="00E83929" w:rsidRDefault="007C5E0A" w:rsidP="007C5E0A">
      <w:pPr>
        <w:shd w:val="clear" w:color="auto" w:fill="000000" w:themeFill="text1"/>
        <w:spacing w:line="240" w:lineRule="auto"/>
        <w:jc w:val="center"/>
        <w:rPr>
          <w:rFonts w:ascii="Times New Roman" w:hAnsi="Times New Roman" w:cs="Times New Roman"/>
          <w:b/>
          <w:bCs/>
          <w:sz w:val="18"/>
          <w:szCs w:val="18"/>
        </w:rPr>
      </w:pPr>
      <w:r>
        <w:rPr>
          <w:rFonts w:ascii="Times New Roman" w:hAnsi="Times New Roman" w:cs="Times New Roman"/>
          <w:b/>
          <w:bCs/>
          <w:sz w:val="18"/>
          <w:szCs w:val="18"/>
        </w:rPr>
        <w:lastRenderedPageBreak/>
        <w:t>Some Background</w:t>
      </w:r>
    </w:p>
    <w:p w14:paraId="4BE799F4" w14:textId="0DC4EE8E" w:rsidR="00E83929" w:rsidRPr="00E83929" w:rsidRDefault="007C5E0A" w:rsidP="00E83929">
      <w:pPr>
        <w:spacing w:line="240"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Under </w:t>
      </w:r>
      <w:r w:rsidR="00E83929" w:rsidRPr="007C5E0A">
        <w:rPr>
          <w:rFonts w:ascii="Times New Roman" w:hAnsi="Times New Roman" w:cs="Times New Roman"/>
          <w:sz w:val="18"/>
          <w:szCs w:val="18"/>
        </w:rPr>
        <w:t>Roman law</w:t>
      </w:r>
      <w:r w:rsidRPr="007C5E0A">
        <w:rPr>
          <w:rFonts w:ascii="Times New Roman" w:hAnsi="Times New Roman" w:cs="Times New Roman"/>
          <w:sz w:val="18"/>
          <w:szCs w:val="18"/>
        </w:rPr>
        <w:t>, t</w:t>
      </w:r>
      <w:r w:rsidR="00E83929" w:rsidRPr="007C5E0A">
        <w:rPr>
          <w:rFonts w:ascii="Times New Roman" w:hAnsi="Times New Roman" w:cs="Times New Roman"/>
          <w:sz w:val="18"/>
          <w:szCs w:val="18"/>
        </w:rPr>
        <w:t>he</w:t>
      </w:r>
      <w:r w:rsidR="00E83929" w:rsidRPr="00E83929">
        <w:rPr>
          <w:rFonts w:ascii="Times New Roman" w:hAnsi="Times New Roman" w:cs="Times New Roman"/>
          <w:sz w:val="18"/>
          <w:szCs w:val="18"/>
        </w:rPr>
        <w:t xml:space="preserve"> necessity for usucaption arose in </w:t>
      </w:r>
      <w:r w:rsidR="00E83929" w:rsidRPr="007C5E0A">
        <w:rPr>
          <w:rFonts w:ascii="Times New Roman" w:hAnsi="Times New Roman" w:cs="Times New Roman"/>
          <w:sz w:val="18"/>
          <w:szCs w:val="18"/>
        </w:rPr>
        <w:t>Roman law</w:t>
      </w:r>
      <w:r w:rsidR="00E83929" w:rsidRPr="00E83929">
        <w:rPr>
          <w:rFonts w:ascii="Times New Roman" w:hAnsi="Times New Roman" w:cs="Times New Roman"/>
          <w:sz w:val="18"/>
          <w:szCs w:val="18"/>
        </w:rPr>
        <w:t xml:space="preserve"> with the divide between </w:t>
      </w:r>
      <w:r w:rsidR="00E83929" w:rsidRPr="007C5E0A">
        <w:rPr>
          <w:rFonts w:ascii="Times New Roman" w:hAnsi="Times New Roman" w:cs="Times New Roman"/>
          <w:i/>
          <w:iCs/>
          <w:sz w:val="18"/>
          <w:szCs w:val="18"/>
        </w:rPr>
        <w:t xml:space="preserve">res </w:t>
      </w:r>
      <w:proofErr w:type="spellStart"/>
      <w:r w:rsidR="00E83929" w:rsidRPr="007C5E0A">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and </w:t>
      </w:r>
      <w:r w:rsidR="00E83929" w:rsidRPr="007C5E0A">
        <w:rPr>
          <w:rFonts w:ascii="Times New Roman" w:hAnsi="Times New Roman" w:cs="Times New Roman"/>
          <w:i/>
          <w:iCs/>
          <w:sz w:val="18"/>
          <w:szCs w:val="18"/>
        </w:rPr>
        <w:t xml:space="preserve">res nec </w:t>
      </w:r>
      <w:proofErr w:type="spellStart"/>
      <w:r w:rsidR="00E83929" w:rsidRPr="007C5E0A">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w:t>
      </w:r>
      <w:r w:rsidR="00E83929" w:rsidRPr="00E83929">
        <w:rPr>
          <w:rFonts w:ascii="Times New Roman" w:hAnsi="Times New Roman" w:cs="Times New Roman"/>
          <w:i/>
          <w:iCs/>
          <w:sz w:val="18"/>
          <w:szCs w:val="18"/>
        </w:rPr>
        <w:t xml:space="preserve">Res </w:t>
      </w:r>
      <w:proofErr w:type="spellStart"/>
      <w:r w:rsidR="00E83929" w:rsidRPr="00E83929">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required elaborate and inconvenient formal methods of conveyance to transfer </w:t>
      </w:r>
      <w:r w:rsidR="00E83929" w:rsidRPr="007C5E0A">
        <w:rPr>
          <w:rFonts w:ascii="Times New Roman" w:hAnsi="Times New Roman" w:cs="Times New Roman"/>
          <w:sz w:val="18"/>
          <w:szCs w:val="18"/>
        </w:rPr>
        <w:t>title</w:t>
      </w:r>
      <w:r w:rsidR="00E83929" w:rsidRPr="00E83929">
        <w:rPr>
          <w:rFonts w:ascii="Times New Roman" w:hAnsi="Times New Roman" w:cs="Times New Roman"/>
          <w:sz w:val="18"/>
          <w:szCs w:val="18"/>
        </w:rPr>
        <w:t xml:space="preserve"> </w:t>
      </w:r>
      <w:r>
        <w:rPr>
          <w:rFonts w:ascii="Times New Roman" w:hAnsi="Times New Roman" w:cs="Times New Roman"/>
          <w:sz w:val="18"/>
          <w:szCs w:val="18"/>
        </w:rPr>
        <w:t xml:space="preserve">via </w:t>
      </w:r>
      <w:r w:rsidR="00E83929" w:rsidRPr="00E83929">
        <w:rPr>
          <w:rFonts w:ascii="Times New Roman" w:hAnsi="Times New Roman" w:cs="Times New Roman"/>
          <w:sz w:val="18"/>
          <w:szCs w:val="18"/>
        </w:rPr>
        <w:t xml:space="preserve">a formal </w:t>
      </w:r>
      <w:proofErr w:type="spellStart"/>
      <w:r w:rsidR="00E83929" w:rsidRPr="007C5E0A">
        <w:rPr>
          <w:rFonts w:ascii="Times New Roman" w:hAnsi="Times New Roman" w:cs="Times New Roman"/>
          <w:i/>
          <w:iCs/>
          <w:sz w:val="18"/>
          <w:szCs w:val="18"/>
        </w:rPr>
        <w:t>mancipatio</w:t>
      </w:r>
      <w:proofErr w:type="spellEnd"/>
      <w:r w:rsidR="00E83929" w:rsidRPr="00E83929">
        <w:rPr>
          <w:rFonts w:ascii="Times New Roman" w:hAnsi="Times New Roman" w:cs="Times New Roman"/>
          <w:sz w:val="18"/>
          <w:szCs w:val="18"/>
        </w:rPr>
        <w:t xml:space="preserve"> ceremony, or </w:t>
      </w:r>
      <w:r w:rsidR="00E83929" w:rsidRPr="007C5E0A">
        <w:rPr>
          <w:rFonts w:ascii="Times New Roman" w:hAnsi="Times New Roman" w:cs="Times New Roman"/>
          <w:i/>
          <w:iCs/>
          <w:sz w:val="18"/>
          <w:szCs w:val="18"/>
        </w:rPr>
        <w:t xml:space="preserve">in </w:t>
      </w:r>
      <w:proofErr w:type="spellStart"/>
      <w:r w:rsidR="00E83929" w:rsidRPr="007C5E0A">
        <w:rPr>
          <w:rFonts w:ascii="Times New Roman" w:hAnsi="Times New Roman" w:cs="Times New Roman"/>
          <w:i/>
          <w:iCs/>
          <w:sz w:val="18"/>
          <w:szCs w:val="18"/>
        </w:rPr>
        <w:t>iure</w:t>
      </w:r>
      <w:proofErr w:type="spellEnd"/>
      <w:r w:rsidR="00E83929" w:rsidRPr="007C5E0A">
        <w:rPr>
          <w:rFonts w:ascii="Times New Roman" w:hAnsi="Times New Roman" w:cs="Times New Roman"/>
          <w:i/>
          <w:iCs/>
          <w:sz w:val="18"/>
          <w:szCs w:val="18"/>
        </w:rPr>
        <w:t xml:space="preserve"> </w:t>
      </w:r>
      <w:proofErr w:type="spellStart"/>
      <w:r w:rsidR="00E83929" w:rsidRPr="007C5E0A">
        <w:rPr>
          <w:rFonts w:ascii="Times New Roman" w:hAnsi="Times New Roman" w:cs="Times New Roman"/>
          <w:i/>
          <w:iCs/>
          <w:sz w:val="18"/>
          <w:szCs w:val="18"/>
        </w:rPr>
        <w:t>cessio</w:t>
      </w:r>
      <w:proofErr w:type="spellEnd"/>
      <w:r w:rsidR="00E83929" w:rsidRPr="00E83929">
        <w:rPr>
          <w:rFonts w:ascii="Times New Roman" w:hAnsi="Times New Roman" w:cs="Times New Roman"/>
          <w:sz w:val="18"/>
          <w:szCs w:val="18"/>
        </w:rPr>
        <w:t xml:space="preserve">. </w:t>
      </w:r>
      <w:r w:rsidR="00E83929" w:rsidRPr="00E83929">
        <w:rPr>
          <w:rFonts w:ascii="Times New Roman" w:hAnsi="Times New Roman" w:cs="Times New Roman"/>
          <w:i/>
          <w:iCs/>
          <w:sz w:val="18"/>
          <w:szCs w:val="18"/>
        </w:rPr>
        <w:t xml:space="preserve">Res nec </w:t>
      </w:r>
      <w:proofErr w:type="spellStart"/>
      <w:r w:rsidR="00E83929" w:rsidRPr="00E83929">
        <w:rPr>
          <w:rFonts w:ascii="Times New Roman" w:hAnsi="Times New Roman" w:cs="Times New Roman"/>
          <w:i/>
          <w:iCs/>
          <w:sz w:val="18"/>
          <w:szCs w:val="18"/>
        </w:rPr>
        <w:t>manicipi</w:t>
      </w:r>
      <w:proofErr w:type="spellEnd"/>
      <w:r w:rsidR="00E83929" w:rsidRPr="00E83929">
        <w:rPr>
          <w:rFonts w:ascii="Times New Roman" w:hAnsi="Times New Roman" w:cs="Times New Roman"/>
          <w:sz w:val="18"/>
          <w:szCs w:val="18"/>
        </w:rPr>
        <w:t xml:space="preserve"> could be transferred by </w:t>
      </w:r>
      <w:proofErr w:type="spellStart"/>
      <w:r w:rsidR="00E83929" w:rsidRPr="007C5E0A">
        <w:rPr>
          <w:rFonts w:ascii="Times New Roman" w:hAnsi="Times New Roman" w:cs="Times New Roman"/>
          <w:i/>
          <w:iCs/>
          <w:sz w:val="18"/>
          <w:szCs w:val="18"/>
        </w:rPr>
        <w:t>traditio</w:t>
      </w:r>
      <w:proofErr w:type="spellEnd"/>
      <w:r>
        <w:rPr>
          <w:rFonts w:ascii="Times New Roman" w:hAnsi="Times New Roman" w:cs="Times New Roman"/>
          <w:sz w:val="18"/>
          <w:szCs w:val="18"/>
        </w:rPr>
        <w:t xml:space="preserve">, i.e., </w:t>
      </w:r>
      <w:r w:rsidR="00E83929" w:rsidRPr="00E83929">
        <w:rPr>
          <w:rFonts w:ascii="Times New Roman" w:hAnsi="Times New Roman" w:cs="Times New Roman"/>
          <w:sz w:val="18"/>
          <w:szCs w:val="18"/>
        </w:rPr>
        <w:t xml:space="preserve">delivery or </w:t>
      </w:r>
      <w:r w:rsidR="00E83929" w:rsidRPr="00E83929">
        <w:rPr>
          <w:rFonts w:ascii="Times New Roman" w:hAnsi="Times New Roman" w:cs="Times New Roman"/>
          <w:i/>
          <w:iCs/>
          <w:sz w:val="18"/>
          <w:szCs w:val="18"/>
        </w:rPr>
        <w:t xml:space="preserve">in </w:t>
      </w:r>
      <w:proofErr w:type="spellStart"/>
      <w:r w:rsidR="00E83929" w:rsidRPr="00E83929">
        <w:rPr>
          <w:rFonts w:ascii="Times New Roman" w:hAnsi="Times New Roman" w:cs="Times New Roman"/>
          <w:i/>
          <w:iCs/>
          <w:sz w:val="18"/>
          <w:szCs w:val="18"/>
        </w:rPr>
        <w:t>iure</w:t>
      </w:r>
      <w:proofErr w:type="spellEnd"/>
      <w:r w:rsidR="00E83929" w:rsidRPr="00E83929">
        <w:rPr>
          <w:rFonts w:ascii="Times New Roman" w:hAnsi="Times New Roman" w:cs="Times New Roman"/>
          <w:i/>
          <w:iCs/>
          <w:sz w:val="18"/>
          <w:szCs w:val="18"/>
        </w:rPr>
        <w:t xml:space="preserve"> </w:t>
      </w:r>
      <w:proofErr w:type="spellStart"/>
      <w:r w:rsidR="00E83929" w:rsidRPr="00E83929">
        <w:rPr>
          <w:rFonts w:ascii="Times New Roman" w:hAnsi="Times New Roman" w:cs="Times New Roman"/>
          <w:i/>
          <w:iCs/>
          <w:sz w:val="18"/>
          <w:szCs w:val="18"/>
        </w:rPr>
        <w:t>cessio</w:t>
      </w:r>
      <w:proofErr w:type="spellEnd"/>
      <w:r w:rsidR="00E83929" w:rsidRPr="00E83929">
        <w:rPr>
          <w:rFonts w:ascii="Times New Roman" w:hAnsi="Times New Roman" w:cs="Times New Roman"/>
          <w:sz w:val="18"/>
          <w:szCs w:val="18"/>
        </w:rPr>
        <w:t>.</w:t>
      </w:r>
    </w:p>
    <w:p w14:paraId="604FC7AF" w14:textId="38F35AAF" w:rsidR="007C5E0A" w:rsidRDefault="00E83929" w:rsidP="007C5E0A">
      <w:pPr>
        <w:pStyle w:val="ListParagraph"/>
        <w:spacing w:line="240" w:lineRule="auto"/>
        <w:jc w:val="both"/>
        <w:rPr>
          <w:rFonts w:ascii="Times New Roman" w:hAnsi="Times New Roman" w:cs="Times New Roman"/>
          <w:sz w:val="18"/>
          <w:szCs w:val="18"/>
        </w:rPr>
      </w:pPr>
      <w:proofErr w:type="spellStart"/>
      <w:r w:rsidRPr="007C5E0A">
        <w:rPr>
          <w:rFonts w:ascii="Times New Roman" w:hAnsi="Times New Roman" w:cs="Times New Roman"/>
          <w:sz w:val="18"/>
          <w:szCs w:val="18"/>
        </w:rPr>
        <w:t>Traditio</w:t>
      </w:r>
      <w:proofErr w:type="spellEnd"/>
      <w:r w:rsidRPr="007C5E0A">
        <w:rPr>
          <w:rFonts w:ascii="Times New Roman" w:hAnsi="Times New Roman" w:cs="Times New Roman"/>
          <w:sz w:val="18"/>
          <w:szCs w:val="18"/>
        </w:rPr>
        <w:t xml:space="preserve"> was an informal conveyance which only required the intention to transfer and </w:t>
      </w:r>
      <w:proofErr w:type="gramStart"/>
      <w:r w:rsidRPr="007C5E0A">
        <w:rPr>
          <w:rFonts w:ascii="Times New Roman" w:hAnsi="Times New Roman" w:cs="Times New Roman"/>
          <w:sz w:val="18"/>
          <w:szCs w:val="18"/>
        </w:rPr>
        <w:t>delivery of</w:t>
      </w:r>
      <w:proofErr w:type="gramEnd"/>
      <w:r w:rsidRPr="007C5E0A">
        <w:rPr>
          <w:rFonts w:ascii="Times New Roman" w:hAnsi="Times New Roman" w:cs="Times New Roman"/>
          <w:sz w:val="18"/>
          <w:szCs w:val="18"/>
        </w:rPr>
        <w:t xml:space="preserve"> the property. If </w:t>
      </w:r>
      <w:r w:rsidRPr="007C5E0A">
        <w:rPr>
          <w:rFonts w:ascii="Times New Roman" w:hAnsi="Times New Roman" w:cs="Times New Roman"/>
          <w:i/>
          <w:iCs/>
          <w:sz w:val="18"/>
          <w:szCs w:val="18"/>
        </w:rPr>
        <w:t xml:space="preserve">res </w:t>
      </w:r>
      <w:proofErr w:type="spellStart"/>
      <w:r w:rsidRPr="007C5E0A">
        <w:rPr>
          <w:rFonts w:ascii="Times New Roman" w:hAnsi="Times New Roman" w:cs="Times New Roman"/>
          <w:i/>
          <w:iCs/>
          <w:sz w:val="18"/>
          <w:szCs w:val="18"/>
        </w:rPr>
        <w:t>mancipi</w:t>
      </w:r>
      <w:proofErr w:type="spellEnd"/>
      <w:r w:rsidRPr="007C5E0A">
        <w:rPr>
          <w:rFonts w:ascii="Times New Roman" w:hAnsi="Times New Roman" w:cs="Times New Roman"/>
          <w:sz w:val="18"/>
          <w:szCs w:val="18"/>
        </w:rPr>
        <w:t xml:space="preserve"> were transferred by </w:t>
      </w:r>
      <w:proofErr w:type="spellStart"/>
      <w:r w:rsidRPr="007C5E0A">
        <w:rPr>
          <w:rFonts w:ascii="Times New Roman" w:hAnsi="Times New Roman" w:cs="Times New Roman"/>
          <w:i/>
          <w:iCs/>
          <w:sz w:val="18"/>
          <w:szCs w:val="18"/>
        </w:rPr>
        <w:t>traditio</w:t>
      </w:r>
      <w:proofErr w:type="spellEnd"/>
      <w:r w:rsidRPr="007C5E0A">
        <w:rPr>
          <w:rFonts w:ascii="Times New Roman" w:hAnsi="Times New Roman" w:cs="Times New Roman"/>
          <w:sz w:val="18"/>
          <w:szCs w:val="18"/>
        </w:rPr>
        <w:t xml:space="preserve">, full ownership would not </w:t>
      </w:r>
      <w:proofErr w:type="gramStart"/>
      <w:r w:rsidRPr="007C5E0A">
        <w:rPr>
          <w:rFonts w:ascii="Times New Roman" w:hAnsi="Times New Roman" w:cs="Times New Roman"/>
          <w:sz w:val="18"/>
          <w:szCs w:val="18"/>
        </w:rPr>
        <w:t>pass</w:t>
      </w:r>
      <w:proofErr w:type="gramEnd"/>
      <w:r w:rsidRPr="007C5E0A">
        <w:rPr>
          <w:rFonts w:ascii="Times New Roman" w:hAnsi="Times New Roman" w:cs="Times New Roman"/>
          <w:sz w:val="18"/>
          <w:szCs w:val="18"/>
        </w:rPr>
        <w:t xml:space="preserve"> and the recipient would become a </w:t>
      </w:r>
      <w:proofErr w:type="spellStart"/>
      <w:r w:rsidRPr="007C5E0A">
        <w:rPr>
          <w:rFonts w:ascii="Times New Roman" w:hAnsi="Times New Roman" w:cs="Times New Roman"/>
          <w:sz w:val="18"/>
          <w:szCs w:val="18"/>
        </w:rPr>
        <w:t>bonitary</w:t>
      </w:r>
      <w:proofErr w:type="spellEnd"/>
      <w:r w:rsidRPr="007C5E0A">
        <w:rPr>
          <w:rFonts w:ascii="Times New Roman" w:hAnsi="Times New Roman" w:cs="Times New Roman"/>
          <w:sz w:val="18"/>
          <w:szCs w:val="18"/>
        </w:rPr>
        <w:t xml:space="preserve"> owner.</w:t>
      </w:r>
      <w:r w:rsidR="007C5E0A">
        <w:rPr>
          <w:rFonts w:ascii="Times New Roman" w:hAnsi="Times New Roman" w:cs="Times New Roman"/>
          <w:sz w:val="18"/>
          <w:szCs w:val="18"/>
        </w:rPr>
        <w:t xml:space="preserve"> </w:t>
      </w:r>
    </w:p>
    <w:p w14:paraId="0EFF5353" w14:textId="2E0CB7C9" w:rsidR="00E83929" w:rsidRPr="00E83929" w:rsidRDefault="00E83929" w:rsidP="007C5E0A">
      <w:pPr>
        <w:pStyle w:val="ListParagraph"/>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Therefore, another form of conveyance was required that did not necessitate a ceremony or appearance before the </w:t>
      </w:r>
      <w:r w:rsidRPr="007C5E0A">
        <w:rPr>
          <w:rFonts w:ascii="Times New Roman" w:hAnsi="Times New Roman" w:cs="Times New Roman"/>
          <w:sz w:val="18"/>
          <w:szCs w:val="18"/>
        </w:rPr>
        <w:t>praetor</w:t>
      </w:r>
      <w:r w:rsidRPr="00E83929">
        <w:rPr>
          <w:rFonts w:ascii="Times New Roman" w:hAnsi="Times New Roman" w:cs="Times New Roman"/>
          <w:sz w:val="18"/>
          <w:szCs w:val="18"/>
        </w:rPr>
        <w:t xml:space="preserve">. Because Rome was becoming mercantile, it was simply inconvenient to perform a formal conveyance simply because property was classed as </w:t>
      </w:r>
      <w:proofErr w:type="gramStart"/>
      <w:r w:rsidRPr="00E83929">
        <w:rPr>
          <w:rFonts w:ascii="Times New Roman" w:hAnsi="Times New Roman" w:cs="Times New Roman"/>
          <w:i/>
          <w:iCs/>
          <w:sz w:val="18"/>
          <w:szCs w:val="18"/>
        </w:rPr>
        <w:t>res</w:t>
      </w:r>
      <w:proofErr w:type="gramEnd"/>
      <w:r w:rsidRPr="00E83929">
        <w:rPr>
          <w:rFonts w:ascii="Times New Roman" w:hAnsi="Times New Roman" w:cs="Times New Roman"/>
          <w:i/>
          <w:iCs/>
          <w:sz w:val="18"/>
          <w:szCs w:val="18"/>
        </w:rPr>
        <w:t xml:space="preserve"> </w:t>
      </w:r>
      <w:proofErr w:type="spellStart"/>
      <w:r w:rsidRPr="00E83929">
        <w:rPr>
          <w:rFonts w:ascii="Times New Roman" w:hAnsi="Times New Roman" w:cs="Times New Roman"/>
          <w:i/>
          <w:iCs/>
          <w:sz w:val="18"/>
          <w:szCs w:val="18"/>
        </w:rPr>
        <w:t>mancipi</w:t>
      </w:r>
      <w:proofErr w:type="spellEnd"/>
      <w:r w:rsidRPr="00E83929">
        <w:rPr>
          <w:rFonts w:ascii="Times New Roman" w:hAnsi="Times New Roman" w:cs="Times New Roman"/>
          <w:sz w:val="18"/>
          <w:szCs w:val="18"/>
        </w:rPr>
        <w:t xml:space="preserve">. There might also be a demand to transfer property in private between the transferring parties, such as in the establishment of </w:t>
      </w:r>
      <w:r w:rsidRPr="007C5E0A">
        <w:rPr>
          <w:rFonts w:ascii="Times New Roman" w:hAnsi="Times New Roman" w:cs="Times New Roman"/>
          <w:b/>
          <w:bCs/>
          <w:i/>
          <w:iCs/>
          <w:sz w:val="18"/>
          <w:szCs w:val="18"/>
        </w:rPr>
        <w:t>fideicommissa</w:t>
      </w:r>
      <w:r w:rsidRPr="00E83929">
        <w:rPr>
          <w:rFonts w:ascii="Times New Roman" w:hAnsi="Times New Roman" w:cs="Times New Roman"/>
          <w:sz w:val="18"/>
          <w:szCs w:val="18"/>
        </w:rPr>
        <w:t xml:space="preserve"> </w:t>
      </w:r>
      <w:r w:rsidR="007C5E0A">
        <w:rPr>
          <w:rFonts w:ascii="Times New Roman" w:hAnsi="Times New Roman" w:cs="Times New Roman"/>
          <w:sz w:val="18"/>
          <w:szCs w:val="18"/>
        </w:rPr>
        <w:t xml:space="preserve">meaning </w:t>
      </w:r>
      <w:r w:rsidRPr="007C5E0A">
        <w:rPr>
          <w:rFonts w:ascii="Times New Roman" w:hAnsi="Times New Roman" w:cs="Times New Roman"/>
          <w:b/>
          <w:bCs/>
          <w:sz w:val="18"/>
          <w:szCs w:val="18"/>
        </w:rPr>
        <w:t>Roman trusts</w:t>
      </w:r>
      <w:r w:rsidR="007C5E0A">
        <w:rPr>
          <w:rFonts w:ascii="Times New Roman" w:hAnsi="Times New Roman" w:cs="Times New Roman"/>
          <w:sz w:val="18"/>
          <w:szCs w:val="18"/>
        </w:rPr>
        <w:t>.</w:t>
      </w:r>
      <w:r w:rsidR="007C5E0A" w:rsidRPr="00E83929">
        <w:rPr>
          <w:rFonts w:ascii="Times New Roman" w:hAnsi="Times New Roman" w:cs="Times New Roman"/>
          <w:sz w:val="18"/>
          <w:szCs w:val="18"/>
        </w:rPr>
        <w:t xml:space="preserve"> </w:t>
      </w:r>
    </w:p>
    <w:p w14:paraId="742C3DE3" w14:textId="0318350A"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 need for establishing ownership by means other than conveyance was also a result of the practical defect of a system of ownership based on valid transfer. Title to </w:t>
      </w:r>
      <w:r w:rsidRPr="007C5E0A">
        <w:rPr>
          <w:rFonts w:ascii="Times New Roman" w:hAnsi="Times New Roman" w:cs="Times New Roman"/>
          <w:sz w:val="18"/>
          <w:szCs w:val="18"/>
        </w:rPr>
        <w:t>property</w:t>
      </w:r>
      <w:r w:rsidRPr="00E83929">
        <w:rPr>
          <w:rFonts w:ascii="Times New Roman" w:hAnsi="Times New Roman" w:cs="Times New Roman"/>
          <w:sz w:val="18"/>
          <w:szCs w:val="18"/>
        </w:rPr>
        <w:t xml:space="preserve"> could be challenged under this system, because it depended on the good title of the person from whom you acquired the property and so on. If any person's title in the chain were challenged successfully, then this would defeat any title derived from it. This defect required a means of establishing </w:t>
      </w:r>
      <w:r w:rsidRPr="007C5E0A">
        <w:rPr>
          <w:rFonts w:ascii="Times New Roman" w:hAnsi="Times New Roman" w:cs="Times New Roman"/>
          <w:sz w:val="18"/>
          <w:szCs w:val="18"/>
        </w:rPr>
        <w:t>ownership</w:t>
      </w:r>
      <w:r w:rsidRPr="00E83929">
        <w:rPr>
          <w:rFonts w:ascii="Times New Roman" w:hAnsi="Times New Roman" w:cs="Times New Roman"/>
          <w:sz w:val="18"/>
          <w:szCs w:val="18"/>
        </w:rPr>
        <w:t xml:space="preserve"> that was not contingent upon a chain of title but could be established independently.</w:t>
      </w:r>
      <w:r w:rsidR="007C5E0A" w:rsidRPr="00E83929">
        <w:rPr>
          <w:rFonts w:ascii="Times New Roman" w:hAnsi="Times New Roman" w:cs="Times New Roman"/>
          <w:sz w:val="18"/>
          <w:szCs w:val="18"/>
        </w:rPr>
        <w:t xml:space="preserve"> </w:t>
      </w:r>
    </w:p>
    <w:p w14:paraId="604F2A25" w14:textId="77777777" w:rsidR="00E83929" w:rsidRPr="00E83929" w:rsidRDefault="00E83929" w:rsidP="007C5E0A">
      <w:pPr>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The Roman Law of </w:t>
      </w:r>
      <w:proofErr w:type="spellStart"/>
      <w:r w:rsidRPr="00E83929">
        <w:rPr>
          <w:rFonts w:ascii="Times New Roman" w:hAnsi="Times New Roman" w:cs="Times New Roman"/>
          <w:b/>
          <w:bCs/>
          <w:sz w:val="18"/>
          <w:szCs w:val="18"/>
        </w:rPr>
        <w:t>Usucapio</w:t>
      </w:r>
      <w:proofErr w:type="spellEnd"/>
    </w:p>
    <w:p w14:paraId="5810B0DF" w14:textId="772CE06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However, if a </w:t>
      </w:r>
      <w:proofErr w:type="spellStart"/>
      <w:r w:rsidRPr="007C5E0A">
        <w:rPr>
          <w:rFonts w:ascii="Times New Roman" w:hAnsi="Times New Roman" w:cs="Times New Roman"/>
          <w:sz w:val="18"/>
          <w:szCs w:val="18"/>
        </w:rPr>
        <w:t>bonitary</w:t>
      </w:r>
      <w:proofErr w:type="spellEnd"/>
      <w:r w:rsidRPr="007C5E0A">
        <w:rPr>
          <w:rFonts w:ascii="Times New Roman" w:hAnsi="Times New Roman" w:cs="Times New Roman"/>
          <w:sz w:val="18"/>
          <w:szCs w:val="18"/>
        </w:rPr>
        <w:t xml:space="preserve"> owner</w:t>
      </w:r>
      <w:r w:rsidRPr="00E83929">
        <w:rPr>
          <w:rFonts w:ascii="Times New Roman" w:hAnsi="Times New Roman" w:cs="Times New Roman"/>
          <w:sz w:val="18"/>
          <w:szCs w:val="18"/>
        </w:rPr>
        <w:t xml:space="preserve"> kept the </w:t>
      </w:r>
      <w:r w:rsidRPr="00E83929">
        <w:rPr>
          <w:rFonts w:ascii="Times New Roman" w:hAnsi="Times New Roman" w:cs="Times New Roman"/>
          <w:i/>
          <w:iCs/>
          <w:sz w:val="18"/>
          <w:szCs w:val="18"/>
        </w:rPr>
        <w:t>res</w:t>
      </w:r>
      <w:r w:rsidR="007C5E0A">
        <w:rPr>
          <w:rFonts w:ascii="Times New Roman" w:hAnsi="Times New Roman" w:cs="Times New Roman"/>
          <w:sz w:val="18"/>
          <w:szCs w:val="18"/>
        </w:rPr>
        <w:t xml:space="preserve">, the thing or the </w:t>
      </w:r>
      <w:r w:rsidRPr="00E83929">
        <w:rPr>
          <w:rFonts w:ascii="Times New Roman" w:hAnsi="Times New Roman" w:cs="Times New Roman"/>
          <w:sz w:val="18"/>
          <w:szCs w:val="18"/>
        </w:rPr>
        <w:t xml:space="preserve">property in his </w:t>
      </w:r>
      <w:r w:rsidRPr="007C5E0A">
        <w:rPr>
          <w:rFonts w:ascii="Times New Roman" w:hAnsi="Times New Roman" w:cs="Times New Roman"/>
          <w:sz w:val="18"/>
          <w:szCs w:val="18"/>
        </w:rPr>
        <w:t>possession</w:t>
      </w:r>
      <w:r w:rsidRPr="00E83929">
        <w:rPr>
          <w:rFonts w:ascii="Times New Roman" w:hAnsi="Times New Roman" w:cs="Times New Roman"/>
          <w:sz w:val="18"/>
          <w:szCs w:val="18"/>
        </w:rPr>
        <w:t xml:space="preserve"> for a certain amount of time</w:t>
      </w:r>
      <w:r w:rsidR="007C5E0A">
        <w:rPr>
          <w:rFonts w:ascii="Times New Roman" w:hAnsi="Times New Roman" w:cs="Times New Roman"/>
          <w:sz w:val="18"/>
          <w:szCs w:val="18"/>
        </w:rPr>
        <w:t xml:space="preserve">, e.g., </w:t>
      </w:r>
      <w:r w:rsidRPr="00E83929">
        <w:rPr>
          <w:rFonts w:ascii="Times New Roman" w:hAnsi="Times New Roman" w:cs="Times New Roman"/>
          <w:sz w:val="18"/>
          <w:szCs w:val="18"/>
        </w:rPr>
        <w:t xml:space="preserve">two years for land, one year for </w:t>
      </w:r>
      <w:r w:rsidRPr="007C5E0A">
        <w:rPr>
          <w:rFonts w:ascii="Times New Roman" w:hAnsi="Times New Roman" w:cs="Times New Roman"/>
          <w:sz w:val="18"/>
          <w:szCs w:val="18"/>
        </w:rPr>
        <w:t>chattels</w:t>
      </w:r>
      <w:r w:rsidR="007C5E0A">
        <w:rPr>
          <w:rFonts w:ascii="Times New Roman" w:hAnsi="Times New Roman" w:cs="Times New Roman"/>
          <w:sz w:val="18"/>
          <w:szCs w:val="18"/>
        </w:rPr>
        <w:t>, i.e., personal property,</w:t>
      </w:r>
      <w:r w:rsidRPr="00E83929">
        <w:rPr>
          <w:rFonts w:ascii="Times New Roman" w:hAnsi="Times New Roman" w:cs="Times New Roman"/>
          <w:sz w:val="18"/>
          <w:szCs w:val="18"/>
        </w:rPr>
        <w:t xml:space="preserve"> his </w:t>
      </w:r>
      <w:r w:rsidRPr="007C5E0A">
        <w:rPr>
          <w:rFonts w:ascii="Times New Roman" w:hAnsi="Times New Roman" w:cs="Times New Roman"/>
          <w:sz w:val="18"/>
          <w:szCs w:val="18"/>
        </w:rPr>
        <w:t>title</w:t>
      </w:r>
      <w:r w:rsidRPr="00E83929">
        <w:rPr>
          <w:rFonts w:ascii="Times New Roman" w:hAnsi="Times New Roman" w:cs="Times New Roman"/>
          <w:sz w:val="18"/>
          <w:szCs w:val="18"/>
        </w:rPr>
        <w:t xml:space="preserve"> would become full </w:t>
      </w:r>
      <w:r w:rsidRPr="007C5E0A">
        <w:rPr>
          <w:rFonts w:ascii="Times New Roman" w:hAnsi="Times New Roman" w:cs="Times New Roman"/>
          <w:sz w:val="18"/>
          <w:szCs w:val="18"/>
        </w:rPr>
        <w:t>title</w:t>
      </w:r>
      <w:r w:rsidRPr="00E83929">
        <w:rPr>
          <w:rFonts w:ascii="Times New Roman" w:hAnsi="Times New Roman" w:cs="Times New Roman"/>
          <w:sz w:val="18"/>
          <w:szCs w:val="18"/>
        </w:rPr>
        <w:t xml:space="preserve"> and he could assert himself as </w:t>
      </w:r>
      <w:r w:rsidRPr="00D364FF">
        <w:rPr>
          <w:rFonts w:ascii="Times New Roman" w:hAnsi="Times New Roman" w:cs="Times New Roman"/>
          <w:i/>
          <w:iCs/>
          <w:sz w:val="18"/>
          <w:szCs w:val="18"/>
        </w:rPr>
        <w:t>dominus</w:t>
      </w:r>
      <w:r w:rsidR="00D364FF">
        <w:rPr>
          <w:rFonts w:ascii="Times New Roman" w:hAnsi="Times New Roman" w:cs="Times New Roman"/>
          <w:sz w:val="18"/>
          <w:szCs w:val="18"/>
        </w:rPr>
        <w:t xml:space="preserve">, meaning </w:t>
      </w:r>
      <w:r w:rsidR="00D364FF" w:rsidRPr="00D364FF">
        <w:rPr>
          <w:rFonts w:ascii="Times New Roman" w:hAnsi="Times New Roman" w:cs="Times New Roman"/>
          <w:sz w:val="18"/>
          <w:szCs w:val="18"/>
        </w:rPr>
        <w:t xml:space="preserve">"an owner", including the owner of a house or </w:t>
      </w:r>
      <w:r w:rsidR="00D364FF">
        <w:rPr>
          <w:rFonts w:ascii="Times New Roman" w:hAnsi="Times New Roman" w:cs="Times New Roman"/>
          <w:sz w:val="18"/>
          <w:szCs w:val="18"/>
        </w:rPr>
        <w:t xml:space="preserve">of </w:t>
      </w:r>
      <w:r w:rsidR="00D364FF" w:rsidRPr="00D364FF">
        <w:rPr>
          <w:rFonts w:ascii="Times New Roman" w:hAnsi="Times New Roman" w:cs="Times New Roman"/>
          <w:i/>
          <w:iCs/>
          <w:sz w:val="18"/>
          <w:szCs w:val="18"/>
        </w:rPr>
        <w:t xml:space="preserve">enslaved </w:t>
      </w:r>
      <w:proofErr w:type="gramStart"/>
      <w:r w:rsidR="00D364FF" w:rsidRPr="00D364FF">
        <w:rPr>
          <w:rFonts w:ascii="Times New Roman" w:hAnsi="Times New Roman" w:cs="Times New Roman"/>
          <w:i/>
          <w:iCs/>
          <w:sz w:val="18"/>
          <w:szCs w:val="18"/>
        </w:rPr>
        <w:t>persons</w:t>
      </w:r>
      <w:r w:rsidR="00D364FF" w:rsidRPr="00D364FF">
        <w:rPr>
          <w:rFonts w:ascii="Times New Roman" w:hAnsi="Times New Roman" w:cs="Times New Roman"/>
          <w:sz w:val="18"/>
          <w:szCs w:val="18"/>
        </w:rPr>
        <w:t>..</w:t>
      </w:r>
      <w:proofErr w:type="gramEnd"/>
    </w:p>
    <w:p w14:paraId="135E3647" w14:textId="7C5284A8"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Usucaption was the solution that emerged to address the defects of Roman </w:t>
      </w:r>
      <w:r w:rsidRPr="007C5E0A">
        <w:rPr>
          <w:rFonts w:ascii="Times New Roman" w:hAnsi="Times New Roman" w:cs="Times New Roman"/>
          <w:sz w:val="18"/>
          <w:szCs w:val="18"/>
        </w:rPr>
        <w:t>ownership</w:t>
      </w:r>
      <w:r w:rsidRPr="00E83929">
        <w:rPr>
          <w:rFonts w:ascii="Times New Roman" w:hAnsi="Times New Roman" w:cs="Times New Roman"/>
          <w:sz w:val="18"/>
          <w:szCs w:val="18"/>
        </w:rPr>
        <w:t>. It required five elements:</w:t>
      </w:r>
      <w:r w:rsidR="007C5E0A" w:rsidRPr="00E83929">
        <w:rPr>
          <w:rFonts w:ascii="Times New Roman" w:hAnsi="Times New Roman" w:cs="Times New Roman"/>
          <w:sz w:val="18"/>
          <w:szCs w:val="18"/>
        </w:rPr>
        <w:t xml:space="preserve"> </w:t>
      </w:r>
    </w:p>
    <w:p w14:paraId="2054FE6A" w14:textId="48494050"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Uninterrupted possession of the property for the requisite period</w:t>
      </w:r>
      <w:r w:rsidR="00D364FF">
        <w:rPr>
          <w:rFonts w:ascii="Times New Roman" w:hAnsi="Times New Roman" w:cs="Times New Roman"/>
          <w:sz w:val="18"/>
          <w:szCs w:val="18"/>
        </w:rPr>
        <w:t xml:space="preserve">, e.g., </w:t>
      </w:r>
      <w:r w:rsidRPr="007C5E0A">
        <w:rPr>
          <w:rFonts w:ascii="Times New Roman" w:hAnsi="Times New Roman" w:cs="Times New Roman"/>
          <w:sz w:val="18"/>
          <w:szCs w:val="18"/>
        </w:rPr>
        <w:t>one year for chattels, two years for land;</w:t>
      </w:r>
    </w:p>
    <w:p w14:paraId="77B0D9F5" w14:textId="3B155BA8"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The </w:t>
      </w:r>
      <w:r w:rsidRPr="00D364FF">
        <w:rPr>
          <w:rFonts w:ascii="Times New Roman" w:hAnsi="Times New Roman" w:cs="Times New Roman"/>
          <w:sz w:val="18"/>
          <w:szCs w:val="18"/>
        </w:rPr>
        <w:t>property</w:t>
      </w:r>
      <w:r w:rsidRPr="007C5E0A">
        <w:rPr>
          <w:rFonts w:ascii="Times New Roman" w:hAnsi="Times New Roman" w:cs="Times New Roman"/>
          <w:sz w:val="18"/>
          <w:szCs w:val="18"/>
        </w:rPr>
        <w:t xml:space="preserve"> was capable of being owned. Not a free man for example;</w:t>
      </w:r>
    </w:p>
    <w:p w14:paraId="56A687B6" w14:textId="68D28167"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D364FF">
        <w:rPr>
          <w:rFonts w:ascii="Times New Roman" w:hAnsi="Times New Roman" w:cs="Times New Roman"/>
          <w:sz w:val="18"/>
          <w:szCs w:val="18"/>
        </w:rPr>
        <w:t>Good faith</w:t>
      </w:r>
      <w:r w:rsidRPr="007C5E0A">
        <w:rPr>
          <w:rFonts w:ascii="Times New Roman" w:hAnsi="Times New Roman" w:cs="Times New Roman"/>
          <w:sz w:val="18"/>
          <w:szCs w:val="18"/>
        </w:rPr>
        <w:t xml:space="preserve">. For example, a buyer might purchase a </w:t>
      </w:r>
      <w:r w:rsidRPr="00D364FF">
        <w:rPr>
          <w:rFonts w:ascii="Times New Roman" w:hAnsi="Times New Roman" w:cs="Times New Roman"/>
          <w:sz w:val="18"/>
          <w:szCs w:val="18"/>
        </w:rPr>
        <w:t>slave</w:t>
      </w:r>
      <w:r w:rsidR="00D364FF">
        <w:rPr>
          <w:rFonts w:ascii="Times New Roman" w:hAnsi="Times New Roman" w:cs="Times New Roman"/>
          <w:sz w:val="18"/>
          <w:szCs w:val="18"/>
        </w:rPr>
        <w:t xml:space="preserve">, </w:t>
      </w:r>
      <w:r w:rsidR="00D364FF" w:rsidRPr="007C5E0A">
        <w:rPr>
          <w:rFonts w:ascii="Times New Roman" w:hAnsi="Times New Roman" w:cs="Times New Roman"/>
          <w:sz w:val="18"/>
          <w:szCs w:val="18"/>
        </w:rPr>
        <w:t>categorized</w:t>
      </w:r>
      <w:r w:rsidRPr="007C5E0A">
        <w:rPr>
          <w:rFonts w:ascii="Times New Roman" w:hAnsi="Times New Roman" w:cs="Times New Roman"/>
          <w:sz w:val="18"/>
          <w:szCs w:val="18"/>
        </w:rPr>
        <w:t xml:space="preserve"> as </w:t>
      </w:r>
      <w:proofErr w:type="gramStart"/>
      <w:r w:rsidRPr="00D364FF">
        <w:rPr>
          <w:rFonts w:ascii="Times New Roman" w:hAnsi="Times New Roman" w:cs="Times New Roman"/>
          <w:sz w:val="18"/>
          <w:szCs w:val="18"/>
        </w:rPr>
        <w:t>res</w:t>
      </w:r>
      <w:proofErr w:type="gram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mancipi</w:t>
      </w:r>
      <w:proofErr w:type="spellEnd"/>
      <w:r w:rsidRPr="007C5E0A">
        <w:rPr>
          <w:rFonts w:ascii="Times New Roman" w:hAnsi="Times New Roman" w:cs="Times New Roman"/>
          <w:sz w:val="18"/>
          <w:szCs w:val="18"/>
        </w:rPr>
        <w:t xml:space="preserve"> in </w:t>
      </w:r>
      <w:r w:rsidRPr="00D364FF">
        <w:rPr>
          <w:rFonts w:ascii="Times New Roman" w:hAnsi="Times New Roman" w:cs="Times New Roman"/>
          <w:sz w:val="18"/>
          <w:szCs w:val="18"/>
        </w:rPr>
        <w:t>good faith</w:t>
      </w:r>
      <w:r w:rsidRPr="007C5E0A">
        <w:rPr>
          <w:rFonts w:ascii="Times New Roman" w:hAnsi="Times New Roman" w:cs="Times New Roman"/>
          <w:sz w:val="18"/>
          <w:szCs w:val="18"/>
        </w:rPr>
        <w:t xml:space="preserve"> but find twelve months on that the </w:t>
      </w:r>
      <w:r w:rsidRPr="00D364FF">
        <w:rPr>
          <w:rFonts w:ascii="Times New Roman" w:hAnsi="Times New Roman" w:cs="Times New Roman"/>
          <w:sz w:val="18"/>
          <w:szCs w:val="18"/>
        </w:rPr>
        <w:t>vendor</w:t>
      </w:r>
      <w:r w:rsidR="00D364FF">
        <w:rPr>
          <w:rFonts w:ascii="Times New Roman" w:hAnsi="Times New Roman" w:cs="Times New Roman"/>
          <w:sz w:val="18"/>
          <w:szCs w:val="18"/>
        </w:rPr>
        <w:t xml:space="preserve"> or seller</w:t>
      </w:r>
      <w:r w:rsidRPr="007C5E0A">
        <w:rPr>
          <w:rFonts w:ascii="Times New Roman" w:hAnsi="Times New Roman" w:cs="Times New Roman"/>
          <w:sz w:val="18"/>
          <w:szCs w:val="18"/>
        </w:rPr>
        <w:t xml:space="preserve"> did not himself have good </w:t>
      </w:r>
      <w:r w:rsidRPr="00D364FF">
        <w:rPr>
          <w:rFonts w:ascii="Times New Roman" w:hAnsi="Times New Roman" w:cs="Times New Roman"/>
          <w:sz w:val="18"/>
          <w:szCs w:val="18"/>
        </w:rPr>
        <w:t>title</w:t>
      </w:r>
      <w:r w:rsidRPr="007C5E0A">
        <w:rPr>
          <w:rFonts w:ascii="Times New Roman" w:hAnsi="Times New Roman" w:cs="Times New Roman"/>
          <w:sz w:val="18"/>
          <w:szCs w:val="18"/>
        </w:rPr>
        <w:t xml:space="preserve"> to that </w:t>
      </w:r>
      <w:r w:rsidRPr="00D364FF">
        <w:rPr>
          <w:rFonts w:ascii="Times New Roman" w:hAnsi="Times New Roman" w:cs="Times New Roman"/>
          <w:sz w:val="18"/>
          <w:szCs w:val="18"/>
        </w:rPr>
        <w:t>slave</w:t>
      </w:r>
      <w:r w:rsidRPr="007C5E0A">
        <w:rPr>
          <w:rFonts w:ascii="Times New Roman" w:hAnsi="Times New Roman" w:cs="Times New Roman"/>
          <w:sz w:val="18"/>
          <w:szCs w:val="18"/>
        </w:rPr>
        <w:t>;</w:t>
      </w:r>
    </w:p>
    <w:p w14:paraId="4DB126C2" w14:textId="6FE59329"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D364FF">
        <w:rPr>
          <w:rFonts w:ascii="Times New Roman" w:hAnsi="Times New Roman" w:cs="Times New Roman"/>
          <w:i/>
          <w:iCs/>
          <w:sz w:val="18"/>
          <w:szCs w:val="18"/>
        </w:rPr>
        <w:t>Iusta causa</w:t>
      </w:r>
      <w:r w:rsidRPr="007C5E0A">
        <w:rPr>
          <w:rFonts w:ascii="Times New Roman" w:hAnsi="Times New Roman" w:cs="Times New Roman"/>
          <w:sz w:val="18"/>
          <w:szCs w:val="18"/>
        </w:rPr>
        <w:t xml:space="preserve">. A proper ground for acquiring the </w:t>
      </w:r>
      <w:r w:rsidRPr="00D364FF">
        <w:rPr>
          <w:rFonts w:ascii="Times New Roman" w:hAnsi="Times New Roman" w:cs="Times New Roman"/>
          <w:sz w:val="18"/>
          <w:szCs w:val="18"/>
        </w:rPr>
        <w:t>property</w:t>
      </w:r>
      <w:r w:rsidRPr="007C5E0A">
        <w:rPr>
          <w:rFonts w:ascii="Times New Roman" w:hAnsi="Times New Roman" w:cs="Times New Roman"/>
          <w:sz w:val="18"/>
          <w:szCs w:val="18"/>
        </w:rPr>
        <w:t xml:space="preserve">, e.g. showing that the acquirer paid for the </w:t>
      </w:r>
      <w:r w:rsidRPr="00D364FF">
        <w:rPr>
          <w:rFonts w:ascii="Times New Roman" w:hAnsi="Times New Roman" w:cs="Times New Roman"/>
          <w:sz w:val="18"/>
          <w:szCs w:val="18"/>
        </w:rPr>
        <w:t>property</w:t>
      </w:r>
      <w:r w:rsidRPr="007C5E0A">
        <w:rPr>
          <w:rFonts w:ascii="Times New Roman" w:hAnsi="Times New Roman" w:cs="Times New Roman"/>
          <w:sz w:val="18"/>
          <w:szCs w:val="18"/>
        </w:rPr>
        <w:t>.</w:t>
      </w:r>
    </w:p>
    <w:p w14:paraId="2028D1EC" w14:textId="77777777"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The property must not have been </w:t>
      </w:r>
      <w:proofErr w:type="gramStart"/>
      <w:r w:rsidRPr="007C5E0A">
        <w:rPr>
          <w:rFonts w:ascii="Times New Roman" w:hAnsi="Times New Roman" w:cs="Times New Roman"/>
          <w:sz w:val="18"/>
          <w:szCs w:val="18"/>
        </w:rPr>
        <w:t>stolen</w:t>
      </w:r>
      <w:proofErr w:type="gramEnd"/>
      <w:r w:rsidRPr="007C5E0A">
        <w:rPr>
          <w:rFonts w:ascii="Times New Roman" w:hAnsi="Times New Roman" w:cs="Times New Roman"/>
          <w:sz w:val="18"/>
          <w:szCs w:val="18"/>
        </w:rPr>
        <w:t xml:space="preserve"> any time or taken by force.</w:t>
      </w:r>
    </w:p>
    <w:p w14:paraId="5909FE5C" w14:textId="3832D545"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This largely ameliorated the problems experienced by </w:t>
      </w:r>
      <w:r w:rsidRPr="00D364FF">
        <w:rPr>
          <w:rFonts w:ascii="Times New Roman" w:hAnsi="Times New Roman" w:cs="Times New Roman"/>
          <w:sz w:val="18"/>
          <w:szCs w:val="18"/>
        </w:rPr>
        <w:t>conveyance</w:t>
      </w:r>
      <w:r w:rsidRPr="00E83929">
        <w:rPr>
          <w:rFonts w:ascii="Times New Roman" w:hAnsi="Times New Roman" w:cs="Times New Roman"/>
          <w:sz w:val="18"/>
          <w:szCs w:val="18"/>
        </w:rPr>
        <w:t xml:space="preserve"> as a means of establishing </w:t>
      </w:r>
      <w:r w:rsidRPr="00D364FF">
        <w:rPr>
          <w:rFonts w:ascii="Times New Roman" w:hAnsi="Times New Roman" w:cs="Times New Roman"/>
          <w:sz w:val="18"/>
          <w:szCs w:val="18"/>
        </w:rPr>
        <w:t>ownership</w:t>
      </w:r>
      <w:r w:rsidRPr="00E83929">
        <w:rPr>
          <w:rFonts w:ascii="Times New Roman" w:hAnsi="Times New Roman" w:cs="Times New Roman"/>
          <w:sz w:val="18"/>
          <w:szCs w:val="18"/>
        </w:rPr>
        <w:t xml:space="preserve"> but could still yield harsh results. A purchaser of res </w:t>
      </w:r>
      <w:proofErr w:type="spellStart"/>
      <w:r w:rsidRPr="00E83929">
        <w:rPr>
          <w:rFonts w:ascii="Times New Roman" w:hAnsi="Times New Roman" w:cs="Times New Roman"/>
          <w:sz w:val="18"/>
          <w:szCs w:val="18"/>
        </w:rPr>
        <w:t>mancipi</w:t>
      </w:r>
      <w:proofErr w:type="spellEnd"/>
      <w:r w:rsidRPr="00E83929">
        <w:rPr>
          <w:rFonts w:ascii="Times New Roman" w:hAnsi="Times New Roman" w:cs="Times New Roman"/>
          <w:sz w:val="18"/>
          <w:szCs w:val="18"/>
        </w:rPr>
        <w:t xml:space="preserve"> could be on his way to successfully </w:t>
      </w:r>
      <w:proofErr w:type="spellStart"/>
      <w:r w:rsidRPr="00E83929">
        <w:rPr>
          <w:rFonts w:ascii="Times New Roman" w:hAnsi="Times New Roman" w:cs="Times New Roman"/>
          <w:sz w:val="18"/>
          <w:szCs w:val="18"/>
        </w:rPr>
        <w:t>usucaping</w:t>
      </w:r>
      <w:proofErr w:type="spellEnd"/>
      <w:r w:rsidRPr="00E83929">
        <w:rPr>
          <w:rFonts w:ascii="Times New Roman" w:hAnsi="Times New Roman" w:cs="Times New Roman"/>
          <w:sz w:val="18"/>
          <w:szCs w:val="18"/>
        </w:rPr>
        <w:t xml:space="preserve"> the property</w:t>
      </w:r>
      <w:r w:rsidR="00D364FF">
        <w:rPr>
          <w:rFonts w:ascii="Times New Roman" w:hAnsi="Times New Roman" w:cs="Times New Roman"/>
          <w:sz w:val="18"/>
          <w:szCs w:val="18"/>
        </w:rPr>
        <w:t xml:space="preserve">, </w:t>
      </w:r>
      <w:r w:rsidRPr="00E83929">
        <w:rPr>
          <w:rFonts w:ascii="Times New Roman" w:hAnsi="Times New Roman" w:cs="Times New Roman"/>
          <w:sz w:val="18"/>
          <w:szCs w:val="18"/>
        </w:rPr>
        <w:t>e.g., 11 months in possession</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but would lose his claim to it if his possession was challenged before the period of usucaption by someone who could establish title.</w:t>
      </w:r>
    </w:p>
    <w:p w14:paraId="6F6FEF07" w14:textId="2F129281"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Usucaption was altered by the </w:t>
      </w:r>
      <w:proofErr w:type="spellStart"/>
      <w:r w:rsidRPr="00D364FF">
        <w:rPr>
          <w:rFonts w:ascii="Times New Roman" w:hAnsi="Times New Roman" w:cs="Times New Roman"/>
          <w:sz w:val="18"/>
          <w:szCs w:val="18"/>
        </w:rPr>
        <w:t>Actio</w:t>
      </w:r>
      <w:proofErr w:type="spell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Publiciana</w:t>
      </w:r>
      <w:proofErr w:type="spellEnd"/>
      <w:r w:rsidR="00D364FF">
        <w:rPr>
          <w:rFonts w:ascii="Times New Roman" w:hAnsi="Times New Roman" w:cs="Times New Roman"/>
          <w:sz w:val="18"/>
          <w:szCs w:val="18"/>
        </w:rPr>
        <w:t xml:space="preserve">, </w:t>
      </w:r>
      <w:r w:rsidRPr="00E83929">
        <w:rPr>
          <w:rFonts w:ascii="Times New Roman" w:hAnsi="Times New Roman" w:cs="Times New Roman"/>
          <w:sz w:val="18"/>
          <w:szCs w:val="18"/>
        </w:rPr>
        <w:t xml:space="preserve">see </w:t>
      </w:r>
      <w:r w:rsidRPr="00D364FF">
        <w:rPr>
          <w:rFonts w:ascii="Times New Roman" w:hAnsi="Times New Roman" w:cs="Times New Roman"/>
          <w:sz w:val="18"/>
          <w:szCs w:val="18"/>
        </w:rPr>
        <w:t>Gaius</w:t>
      </w:r>
      <w:r w:rsidRPr="00E83929">
        <w:rPr>
          <w:rFonts w:ascii="Times New Roman" w:hAnsi="Times New Roman" w:cs="Times New Roman"/>
          <w:sz w:val="18"/>
          <w:szCs w:val="18"/>
        </w:rPr>
        <w:t xml:space="preserve"> 4.36</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which gave scope in the </w:t>
      </w:r>
      <w:proofErr w:type="spellStart"/>
      <w:r w:rsidRPr="00D364FF">
        <w:rPr>
          <w:rFonts w:ascii="Times New Roman" w:hAnsi="Times New Roman" w:cs="Times New Roman"/>
          <w:sz w:val="18"/>
          <w:szCs w:val="18"/>
        </w:rPr>
        <w:t>vindicatio</w:t>
      </w:r>
      <w:proofErr w:type="spellEnd"/>
      <w:r w:rsidRPr="00E83929">
        <w:rPr>
          <w:rFonts w:ascii="Times New Roman" w:hAnsi="Times New Roman" w:cs="Times New Roman"/>
          <w:sz w:val="18"/>
          <w:szCs w:val="18"/>
        </w:rPr>
        <w:t xml:space="preserve"> </w:t>
      </w:r>
      <w:r w:rsidR="00D364FF">
        <w:rPr>
          <w:rFonts w:ascii="Times New Roman" w:hAnsi="Times New Roman" w:cs="Times New Roman"/>
          <w:sz w:val="18"/>
          <w:szCs w:val="18"/>
        </w:rPr>
        <w:t xml:space="preserve">meaning </w:t>
      </w:r>
      <w:r w:rsidRPr="00E83929">
        <w:rPr>
          <w:rFonts w:ascii="Times New Roman" w:hAnsi="Times New Roman" w:cs="Times New Roman"/>
          <w:sz w:val="18"/>
          <w:szCs w:val="18"/>
        </w:rPr>
        <w:t>the action for property</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for a fictitious usucaption. Such a situation would only arise where the claimant's possession of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had been interrupted before the period required to </w:t>
      </w:r>
      <w:proofErr w:type="spellStart"/>
      <w:r w:rsidRPr="00E83929">
        <w:rPr>
          <w:rFonts w:ascii="Times New Roman" w:hAnsi="Times New Roman" w:cs="Times New Roman"/>
          <w:sz w:val="18"/>
          <w:szCs w:val="18"/>
        </w:rPr>
        <w:t>usucape</w:t>
      </w:r>
      <w:proofErr w:type="spellEnd"/>
      <w:r w:rsidRPr="00E83929">
        <w:rPr>
          <w:rFonts w:ascii="Times New Roman" w:hAnsi="Times New Roman" w:cs="Times New Roman"/>
          <w:sz w:val="18"/>
          <w:szCs w:val="18"/>
        </w:rPr>
        <w:t xml:space="preserve"> it had elapsed. The </w:t>
      </w:r>
      <w:proofErr w:type="spellStart"/>
      <w:r w:rsidRPr="00D364FF">
        <w:rPr>
          <w:rFonts w:ascii="Times New Roman" w:hAnsi="Times New Roman" w:cs="Times New Roman"/>
          <w:sz w:val="18"/>
          <w:szCs w:val="18"/>
        </w:rPr>
        <w:t>Actio</w:t>
      </w:r>
      <w:proofErr w:type="spell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Publiciana</w:t>
      </w:r>
      <w:proofErr w:type="spellEnd"/>
      <w:r w:rsidRPr="00E83929">
        <w:rPr>
          <w:rFonts w:ascii="Times New Roman" w:hAnsi="Times New Roman" w:cs="Times New Roman"/>
          <w:sz w:val="18"/>
          <w:szCs w:val="18"/>
        </w:rPr>
        <w:t xml:space="preserve"> made provision for the possessor of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to be taken to have </w:t>
      </w:r>
      <w:proofErr w:type="spellStart"/>
      <w:r w:rsidRPr="00E83929">
        <w:rPr>
          <w:rFonts w:ascii="Times New Roman" w:hAnsi="Times New Roman" w:cs="Times New Roman"/>
          <w:sz w:val="18"/>
          <w:szCs w:val="18"/>
        </w:rPr>
        <w:t>usucaped</w:t>
      </w:r>
      <w:proofErr w:type="spellEnd"/>
      <w:r w:rsidRPr="00E83929">
        <w:rPr>
          <w:rFonts w:ascii="Times New Roman" w:hAnsi="Times New Roman" w:cs="Times New Roman"/>
          <w:sz w:val="18"/>
          <w:szCs w:val="18"/>
        </w:rPr>
        <w:t xml:space="preserve"> it successfully, if he could show that he would have </w:t>
      </w:r>
      <w:proofErr w:type="spellStart"/>
      <w:r w:rsidRPr="00E83929">
        <w:rPr>
          <w:rFonts w:ascii="Times New Roman" w:hAnsi="Times New Roman" w:cs="Times New Roman"/>
          <w:sz w:val="18"/>
          <w:szCs w:val="18"/>
        </w:rPr>
        <w:t>usucaped</w:t>
      </w:r>
      <w:proofErr w:type="spellEnd"/>
      <w:r w:rsidRPr="00E83929">
        <w:rPr>
          <w:rFonts w:ascii="Times New Roman" w:hAnsi="Times New Roman" w:cs="Times New Roman"/>
          <w:sz w:val="18"/>
          <w:szCs w:val="18"/>
        </w:rPr>
        <w:t xml:space="preserve">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had his possession of it not been interrupted. In this </w:t>
      </w:r>
      <w:proofErr w:type="gramStart"/>
      <w:r w:rsidRPr="00E83929">
        <w:rPr>
          <w:rFonts w:ascii="Times New Roman" w:hAnsi="Times New Roman" w:cs="Times New Roman"/>
          <w:sz w:val="18"/>
          <w:szCs w:val="18"/>
        </w:rPr>
        <w:t>way</w:t>
      </w:r>
      <w:proofErr w:type="gramEnd"/>
      <w:r w:rsidRPr="00E83929">
        <w:rPr>
          <w:rFonts w:ascii="Times New Roman" w:hAnsi="Times New Roman" w:cs="Times New Roman"/>
          <w:sz w:val="18"/>
          <w:szCs w:val="18"/>
        </w:rPr>
        <w:t xml:space="preserve"> usucaption became the dominant form of establishing </w:t>
      </w:r>
      <w:r w:rsidRPr="00D364FF">
        <w:rPr>
          <w:rFonts w:ascii="Times New Roman" w:hAnsi="Times New Roman" w:cs="Times New Roman"/>
          <w:sz w:val="18"/>
          <w:szCs w:val="18"/>
        </w:rPr>
        <w:t>ownership</w:t>
      </w:r>
      <w:r w:rsidRPr="00E83929">
        <w:rPr>
          <w:rFonts w:ascii="Times New Roman" w:hAnsi="Times New Roman" w:cs="Times New Roman"/>
          <w:sz w:val="18"/>
          <w:szCs w:val="18"/>
        </w:rPr>
        <w:t xml:space="preserve"> in </w:t>
      </w:r>
      <w:r w:rsidRPr="00D364FF">
        <w:rPr>
          <w:rFonts w:ascii="Times New Roman" w:hAnsi="Times New Roman" w:cs="Times New Roman"/>
          <w:sz w:val="18"/>
          <w:szCs w:val="18"/>
        </w:rPr>
        <w:t>Rome</w:t>
      </w:r>
      <w:r w:rsidRPr="00E83929">
        <w:rPr>
          <w:rFonts w:ascii="Times New Roman" w:hAnsi="Times New Roman" w:cs="Times New Roman"/>
          <w:sz w:val="18"/>
          <w:szCs w:val="18"/>
        </w:rPr>
        <w:t>.</w:t>
      </w:r>
    </w:p>
    <w:p w14:paraId="3431D70E" w14:textId="77777777" w:rsidR="00E83929" w:rsidRPr="00E83929" w:rsidRDefault="00E83929" w:rsidP="00D364FF">
      <w:pPr>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In Rabbinic Judaism</w:t>
      </w:r>
    </w:p>
    <w:p w14:paraId="55C92164" w14:textId="27AEF31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In orthodox Jewish law, the right of usucaption is defined in a compendium of </w:t>
      </w:r>
      <w:r w:rsidRPr="00D364FF">
        <w:rPr>
          <w:rFonts w:ascii="Times New Roman" w:hAnsi="Times New Roman" w:cs="Times New Roman"/>
          <w:sz w:val="18"/>
          <w:szCs w:val="18"/>
        </w:rPr>
        <w:t>Oral Laws</w:t>
      </w:r>
      <w:r w:rsidRPr="00E83929">
        <w:rPr>
          <w:rFonts w:ascii="Times New Roman" w:hAnsi="Times New Roman" w:cs="Times New Roman"/>
          <w:sz w:val="18"/>
          <w:szCs w:val="18"/>
        </w:rPr>
        <w:t xml:space="preserve"> compiled in 189 </w:t>
      </w:r>
      <w:r w:rsidRPr="00D364FF">
        <w:rPr>
          <w:rFonts w:ascii="Times New Roman" w:hAnsi="Times New Roman" w:cs="Times New Roman"/>
          <w:sz w:val="18"/>
          <w:szCs w:val="18"/>
        </w:rPr>
        <w:t>CE</w:t>
      </w:r>
      <w:r w:rsidR="00D364FF">
        <w:rPr>
          <w:rFonts w:ascii="Times New Roman" w:hAnsi="Times New Roman" w:cs="Times New Roman"/>
          <w:sz w:val="18"/>
          <w:szCs w:val="18"/>
        </w:rPr>
        <w:t xml:space="preserve"> or Common Era</w:t>
      </w:r>
      <w:r w:rsidRPr="00E83929">
        <w:rPr>
          <w:rFonts w:ascii="Times New Roman" w:hAnsi="Times New Roman" w:cs="Times New Roman"/>
          <w:sz w:val="18"/>
          <w:szCs w:val="18"/>
        </w:rPr>
        <w:t xml:space="preserve">, known as the </w:t>
      </w:r>
      <w:r w:rsidRPr="00D364FF">
        <w:rPr>
          <w:rFonts w:ascii="Times New Roman" w:hAnsi="Times New Roman" w:cs="Times New Roman"/>
          <w:sz w:val="18"/>
          <w:szCs w:val="18"/>
        </w:rPr>
        <w:t>Mishnah</w:t>
      </w:r>
      <w:r w:rsidR="00D364FF">
        <w:rPr>
          <w:rFonts w:ascii="Times New Roman" w:hAnsi="Times New Roman" w:cs="Times New Roman"/>
          <w:sz w:val="18"/>
          <w:szCs w:val="18"/>
        </w:rPr>
        <w:t xml:space="preserve">, see </w:t>
      </w:r>
      <w:r w:rsidRPr="00E83929">
        <w:rPr>
          <w:rFonts w:ascii="Times New Roman" w:hAnsi="Times New Roman" w:cs="Times New Roman"/>
          <w:i/>
          <w:iCs/>
          <w:sz w:val="18"/>
          <w:szCs w:val="18"/>
        </w:rPr>
        <w:t xml:space="preserve">Baba </w:t>
      </w:r>
      <w:proofErr w:type="spellStart"/>
      <w:r w:rsidRPr="00E83929">
        <w:rPr>
          <w:rFonts w:ascii="Times New Roman" w:hAnsi="Times New Roman" w:cs="Times New Roman"/>
          <w:i/>
          <w:iCs/>
          <w:sz w:val="18"/>
          <w:szCs w:val="18"/>
        </w:rPr>
        <w:t>Bathra</w:t>
      </w:r>
      <w:proofErr w:type="spellEnd"/>
      <w:r w:rsidRPr="00E83929">
        <w:rPr>
          <w:rFonts w:ascii="Times New Roman" w:hAnsi="Times New Roman" w:cs="Times New Roman"/>
          <w:sz w:val="18"/>
          <w:szCs w:val="18"/>
        </w:rPr>
        <w:t xml:space="preserve"> 3:1-</w:t>
      </w:r>
      <w:proofErr w:type="gramStart"/>
      <w:r w:rsidRPr="00E83929">
        <w:rPr>
          <w:rFonts w:ascii="Times New Roman" w:hAnsi="Times New Roman" w:cs="Times New Roman"/>
          <w:sz w:val="18"/>
          <w:szCs w:val="18"/>
        </w:rPr>
        <w:t>ff..</w:t>
      </w:r>
      <w:proofErr w:type="gramEnd"/>
      <w:r w:rsidRPr="00E83929">
        <w:rPr>
          <w:rFonts w:ascii="Times New Roman" w:hAnsi="Times New Roman" w:cs="Times New Roman"/>
          <w:sz w:val="18"/>
          <w:szCs w:val="18"/>
        </w:rPr>
        <w:t xml:space="preserve"> </w:t>
      </w:r>
      <w:r w:rsidRPr="00D364FF">
        <w:rPr>
          <w:rFonts w:ascii="Times New Roman" w:hAnsi="Times New Roman" w:cs="Times New Roman"/>
          <w:b/>
          <w:bCs/>
          <w:i/>
          <w:iCs/>
          <w:sz w:val="18"/>
          <w:szCs w:val="18"/>
        </w:rPr>
        <w:t xml:space="preserve">The general scope of the law formerly provided for the right of possession of property in the absence of a legal deed or title, if, after three years of occupancy, no protest or </w:t>
      </w:r>
      <w:proofErr w:type="gramStart"/>
      <w:r w:rsidRPr="00D364FF">
        <w:rPr>
          <w:rFonts w:ascii="Times New Roman" w:hAnsi="Times New Roman" w:cs="Times New Roman"/>
          <w:b/>
          <w:bCs/>
          <w:i/>
          <w:iCs/>
          <w:sz w:val="18"/>
          <w:szCs w:val="18"/>
        </w:rPr>
        <w:t>counter-claim</w:t>
      </w:r>
      <w:proofErr w:type="gramEnd"/>
      <w:r w:rsidRPr="00D364FF">
        <w:rPr>
          <w:rFonts w:ascii="Times New Roman" w:hAnsi="Times New Roman" w:cs="Times New Roman"/>
          <w:b/>
          <w:bCs/>
          <w:i/>
          <w:iCs/>
          <w:sz w:val="18"/>
          <w:szCs w:val="18"/>
        </w:rPr>
        <w:t xml:space="preserve"> had been made to the same property.</w:t>
      </w:r>
    </w:p>
    <w:p w14:paraId="2012E4DA" w14:textId="4DE613E1" w:rsidR="00E83929" w:rsidRPr="00D364FF" w:rsidRDefault="00E83929" w:rsidP="00D364FF">
      <w:pPr>
        <w:pStyle w:val="ListParagraph"/>
        <w:spacing w:line="240" w:lineRule="auto"/>
        <w:jc w:val="both"/>
        <w:rPr>
          <w:rFonts w:ascii="Times New Roman" w:hAnsi="Times New Roman" w:cs="Times New Roman"/>
          <w:sz w:val="18"/>
          <w:szCs w:val="18"/>
        </w:rPr>
      </w:pPr>
      <w:r w:rsidRPr="00D364FF">
        <w:rPr>
          <w:rFonts w:ascii="Times New Roman" w:hAnsi="Times New Roman" w:cs="Times New Roman"/>
          <w:sz w:val="18"/>
          <w:szCs w:val="18"/>
        </w:rPr>
        <w:t xml:space="preserve">Title by usucaption to houses, cisterns, trenches, vaults, dovecots, </w:t>
      </w:r>
      <w:proofErr w:type="gramStart"/>
      <w:r w:rsidRPr="00D364FF">
        <w:rPr>
          <w:rFonts w:ascii="Times New Roman" w:hAnsi="Times New Roman" w:cs="Times New Roman"/>
          <w:sz w:val="18"/>
          <w:szCs w:val="18"/>
        </w:rPr>
        <w:t>bath-houses</w:t>
      </w:r>
      <w:proofErr w:type="gramEnd"/>
      <w:r w:rsidRPr="00D364FF">
        <w:rPr>
          <w:rFonts w:ascii="Times New Roman" w:hAnsi="Times New Roman" w:cs="Times New Roman"/>
          <w:sz w:val="18"/>
          <w:szCs w:val="18"/>
        </w:rPr>
        <w:t xml:space="preserve">, olive-presses, irrigated fields, and slaves, and aught that brings constant gain, </w:t>
      </w:r>
      <w:r w:rsidRPr="00D364FF">
        <w:rPr>
          <w:rFonts w:ascii="Times New Roman" w:hAnsi="Times New Roman" w:cs="Times New Roman"/>
          <w:i/>
          <w:iCs/>
          <w:sz w:val="18"/>
          <w:szCs w:val="18"/>
        </w:rPr>
        <w:t>is secured by occupation during three completed years</w:t>
      </w:r>
      <w:r w:rsidRPr="00D364FF">
        <w:rPr>
          <w:rFonts w:ascii="Times New Roman" w:hAnsi="Times New Roman" w:cs="Times New Roman"/>
          <w:sz w:val="18"/>
          <w:szCs w:val="18"/>
        </w:rPr>
        <w:t xml:space="preserve">; title by usucaption to unirrigated fields is secured by occupation </w:t>
      </w:r>
      <w:proofErr w:type="gramStart"/>
      <w:r w:rsidRPr="00D364FF">
        <w:rPr>
          <w:rFonts w:ascii="Times New Roman" w:hAnsi="Times New Roman" w:cs="Times New Roman"/>
          <w:sz w:val="18"/>
          <w:szCs w:val="18"/>
        </w:rPr>
        <w:t>during</w:t>
      </w:r>
      <w:proofErr w:type="gramEnd"/>
      <w:r w:rsidRPr="00D364FF">
        <w:rPr>
          <w:rFonts w:ascii="Times New Roman" w:hAnsi="Times New Roman" w:cs="Times New Roman"/>
          <w:sz w:val="18"/>
          <w:szCs w:val="18"/>
        </w:rPr>
        <w:t xml:space="preserve"> three years and they need not be completed.</w:t>
      </w:r>
      <w:r w:rsidR="00D364FF" w:rsidRPr="00D364FF">
        <w:rPr>
          <w:rFonts w:ascii="Times New Roman" w:hAnsi="Times New Roman" w:cs="Times New Roman"/>
          <w:sz w:val="18"/>
          <w:szCs w:val="18"/>
        </w:rPr>
        <w:t xml:space="preserve"> </w:t>
      </w:r>
    </w:p>
    <w:p w14:paraId="0FE24BC6" w14:textId="40C6EE2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If a dispute </w:t>
      </w:r>
      <w:proofErr w:type="gramStart"/>
      <w:r w:rsidRPr="00E83929">
        <w:rPr>
          <w:rFonts w:ascii="Times New Roman" w:hAnsi="Times New Roman" w:cs="Times New Roman"/>
          <w:sz w:val="18"/>
          <w:szCs w:val="18"/>
        </w:rPr>
        <w:t>had</w:t>
      </w:r>
      <w:proofErr w:type="gramEnd"/>
      <w:r w:rsidRPr="00E83929">
        <w:rPr>
          <w:rFonts w:ascii="Times New Roman" w:hAnsi="Times New Roman" w:cs="Times New Roman"/>
          <w:sz w:val="18"/>
          <w:szCs w:val="18"/>
        </w:rPr>
        <w:t xml:space="preserve"> arisen over property within this three-year </w:t>
      </w:r>
      <w:proofErr w:type="gramStart"/>
      <w:r w:rsidRPr="00E83929">
        <w:rPr>
          <w:rFonts w:ascii="Times New Roman" w:hAnsi="Times New Roman" w:cs="Times New Roman"/>
          <w:sz w:val="18"/>
          <w:szCs w:val="18"/>
        </w:rPr>
        <w:t>time-frame</w:t>
      </w:r>
      <w:proofErr w:type="gramEnd"/>
      <w:r w:rsidRPr="00E83929">
        <w:rPr>
          <w:rFonts w:ascii="Times New Roman" w:hAnsi="Times New Roman" w:cs="Times New Roman"/>
          <w:sz w:val="18"/>
          <w:szCs w:val="18"/>
        </w:rPr>
        <w:t>, the property is assumed to belong to the person who challenges the claim of the illegal tenant, particularly, when the other is publicly known to have originally possessed the land or house. In such cases, if so-and-so "A" claimed that so-and-so "B" wrongfully took possession of his property, but so-and-so "B" retorted, "Yes, it was formerly yours, but you sold it to me," or "Yes, it was formerly yours, but I received it from you as a gift," - if "A" is known to have once possessed the property, he is assumed to be the rightful owner of the property, and it is the duty of "B" to show proof that "A" either sold it to him, or gave it to him as a gift. The absence of proof renders "B"'s hold of the property null and void.</w:t>
      </w:r>
      <w:r w:rsidR="00D364FF" w:rsidRPr="00E83929">
        <w:rPr>
          <w:rFonts w:ascii="Times New Roman" w:hAnsi="Times New Roman" w:cs="Times New Roman"/>
          <w:sz w:val="18"/>
          <w:szCs w:val="18"/>
        </w:rPr>
        <w:t xml:space="preserve"> </w:t>
      </w:r>
    </w:p>
    <w:p w14:paraId="7781B6D4" w14:textId="7770315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lastRenderedPageBreak/>
        <w:t xml:space="preserve">A squatter who fences in the property, or who locks it up, or who refurbishes it, or who has the keys to the property delivered unto him, are all signs of legal conveyance and is assumed to be the rightful owner, even in the absence of a legal deed. After three years of occupancy the squatter cannot be evicted from the property, unless the original owner can show proof or bring witnesses who testify to the effect that the property is still vested in his name, and that no transaction, conveyance or sale was made between him and the squatter, even though he held it for three years or more, in which case the squatter is forcibly evicted from the property and the court </w:t>
      </w:r>
      <w:r w:rsidRPr="00D364FF">
        <w:rPr>
          <w:rFonts w:ascii="Times New Roman" w:hAnsi="Times New Roman" w:cs="Times New Roman"/>
          <w:b/>
          <w:bCs/>
          <w:sz w:val="18"/>
          <w:szCs w:val="18"/>
        </w:rPr>
        <w:t>replevins</w:t>
      </w:r>
      <w:r w:rsidRPr="00E83929">
        <w:rPr>
          <w:rFonts w:ascii="Times New Roman" w:hAnsi="Times New Roman" w:cs="Times New Roman"/>
          <w:sz w:val="18"/>
          <w:szCs w:val="18"/>
        </w:rPr>
        <w:t xml:space="preserve"> the estate to its rightful owner. The application of this law is </w:t>
      </w:r>
      <w:proofErr w:type="gramStart"/>
      <w:r w:rsidRPr="00E83929">
        <w:rPr>
          <w:rFonts w:ascii="Times New Roman" w:hAnsi="Times New Roman" w:cs="Times New Roman"/>
          <w:sz w:val="18"/>
          <w:szCs w:val="18"/>
        </w:rPr>
        <w:t>similar to</w:t>
      </w:r>
      <w:proofErr w:type="gramEnd"/>
      <w:r w:rsidRPr="00E83929">
        <w:rPr>
          <w:rFonts w:ascii="Times New Roman" w:hAnsi="Times New Roman" w:cs="Times New Roman"/>
          <w:sz w:val="18"/>
          <w:szCs w:val="18"/>
        </w:rPr>
        <w:t xml:space="preserve"> what was found in ancient Roman law, under </w:t>
      </w:r>
      <w:r w:rsidRPr="00D364FF">
        <w:rPr>
          <w:rFonts w:ascii="Times New Roman" w:hAnsi="Times New Roman" w:cs="Times New Roman"/>
          <w:i/>
          <w:iCs/>
          <w:sz w:val="18"/>
          <w:szCs w:val="18"/>
        </w:rPr>
        <w:t xml:space="preserve">rei </w:t>
      </w:r>
      <w:proofErr w:type="spellStart"/>
      <w:r w:rsidRPr="00D364FF">
        <w:rPr>
          <w:rFonts w:ascii="Times New Roman" w:hAnsi="Times New Roman" w:cs="Times New Roman"/>
          <w:i/>
          <w:iCs/>
          <w:sz w:val="18"/>
          <w:szCs w:val="18"/>
        </w:rPr>
        <w:t>vindicatio</w:t>
      </w:r>
      <w:proofErr w:type="spellEnd"/>
      <w:r w:rsidRPr="00E83929">
        <w:rPr>
          <w:rFonts w:ascii="Times New Roman" w:hAnsi="Times New Roman" w:cs="Times New Roman"/>
          <w:sz w:val="18"/>
          <w:szCs w:val="18"/>
        </w:rPr>
        <w:t>.</w:t>
      </w:r>
    </w:p>
    <w:p w14:paraId="464FE34B" w14:textId="0DB0F0E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Three years was considered the least amount of time needed for a </w:t>
      </w:r>
      <w:r w:rsidRPr="00E83929">
        <w:rPr>
          <w:rFonts w:ascii="Times New Roman" w:hAnsi="Times New Roman" w:cs="Times New Roman"/>
          <w:i/>
          <w:iCs/>
          <w:sz w:val="18"/>
          <w:szCs w:val="18"/>
        </w:rPr>
        <w:t xml:space="preserve">rei </w:t>
      </w:r>
      <w:proofErr w:type="spellStart"/>
      <w:r w:rsidRPr="00E83929">
        <w:rPr>
          <w:rFonts w:ascii="Times New Roman" w:hAnsi="Times New Roman" w:cs="Times New Roman"/>
          <w:i/>
          <w:iCs/>
          <w:sz w:val="18"/>
          <w:szCs w:val="18"/>
        </w:rPr>
        <w:t>vindicatio</w:t>
      </w:r>
      <w:proofErr w:type="spellEnd"/>
      <w:r w:rsidRPr="00E83929">
        <w:rPr>
          <w:rFonts w:ascii="Times New Roman" w:hAnsi="Times New Roman" w:cs="Times New Roman"/>
          <w:sz w:val="18"/>
          <w:szCs w:val="18"/>
        </w:rPr>
        <w:t xml:space="preserve"> to happen, meaning, one year being the time needed for the discovery of the illegal occupant, another year being the time needed to notify the original owner about his property being taken, and another year being the time needed for him to return to the Land of Israel from a far-away country, such as Spain, in order to evict the occupant. The protest must be made before at least two competent witnesses and submitted in a court of law against another's wrongful occupation of his property within the three-year allotted period, in which case the squatter's assumed right to the said property is automatically canceled, unless he can provide proof of purchase. The squatter who fails to provide a legal deed of purchase, or who lost his deed of purchase, forfeits his hold of the property.</w:t>
      </w:r>
      <w:r w:rsidR="00D364FF" w:rsidRPr="00E83929">
        <w:rPr>
          <w:rFonts w:ascii="Times New Roman" w:hAnsi="Times New Roman" w:cs="Times New Roman"/>
          <w:sz w:val="18"/>
          <w:szCs w:val="18"/>
        </w:rPr>
        <w:t xml:space="preserve"> </w:t>
      </w:r>
      <w:r w:rsidRPr="00E83929">
        <w:rPr>
          <w:rFonts w:ascii="Times New Roman" w:hAnsi="Times New Roman" w:cs="Times New Roman"/>
          <w:sz w:val="18"/>
          <w:szCs w:val="18"/>
        </w:rPr>
        <w:t>The language of protestation by the rightful owner is such, or to the effect of such: "So-and-so, who is making use of my courtyard or my field, is a thief." The person who protests another man's wrongful hold of his property must be known by others to be the rightful owner of that property, and if not, the squatter is able to say, "I take no heed to his protestations."</w:t>
      </w:r>
      <w:r w:rsidR="00D364FF" w:rsidRPr="00E83929">
        <w:rPr>
          <w:rFonts w:ascii="Times New Roman" w:hAnsi="Times New Roman" w:cs="Times New Roman"/>
          <w:sz w:val="18"/>
          <w:szCs w:val="18"/>
        </w:rPr>
        <w:t xml:space="preserve"> </w:t>
      </w:r>
    </w:p>
    <w:p w14:paraId="01CF8CE4" w14:textId="114BE3A9"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Title by usucaption in the above cases does not apply to persons who had been artisans working on the property in question, or to persons who had been </w:t>
      </w:r>
      <w:r w:rsidRPr="00D364FF">
        <w:rPr>
          <w:rFonts w:ascii="Times New Roman" w:hAnsi="Times New Roman" w:cs="Times New Roman"/>
          <w:sz w:val="18"/>
          <w:szCs w:val="18"/>
        </w:rPr>
        <w:t>co-partners in business</w:t>
      </w:r>
      <w:r w:rsidRPr="00E83929">
        <w:rPr>
          <w:rFonts w:ascii="Times New Roman" w:hAnsi="Times New Roman" w:cs="Times New Roman"/>
          <w:sz w:val="18"/>
          <w:szCs w:val="18"/>
        </w:rPr>
        <w:t xml:space="preserve"> with the original owner, or to persons who had been </w:t>
      </w:r>
      <w:r w:rsidRPr="00D364FF">
        <w:rPr>
          <w:rFonts w:ascii="Times New Roman" w:hAnsi="Times New Roman" w:cs="Times New Roman"/>
          <w:sz w:val="18"/>
          <w:szCs w:val="18"/>
        </w:rPr>
        <w:t>sharecroppers</w:t>
      </w:r>
      <w:r w:rsidRPr="00E83929">
        <w:rPr>
          <w:rFonts w:ascii="Times New Roman" w:hAnsi="Times New Roman" w:cs="Times New Roman"/>
          <w:sz w:val="18"/>
          <w:szCs w:val="18"/>
        </w:rPr>
        <w:t xml:space="preserve"> on the property in question, or to persons who had acted as </w:t>
      </w:r>
      <w:r w:rsidRPr="00D364FF">
        <w:rPr>
          <w:rFonts w:ascii="Times New Roman" w:hAnsi="Times New Roman" w:cs="Times New Roman"/>
          <w:b/>
          <w:bCs/>
          <w:i/>
          <w:iCs/>
          <w:sz w:val="18"/>
          <w:szCs w:val="18"/>
        </w:rPr>
        <w:t>legal guardian</w:t>
      </w:r>
      <w:r w:rsidRPr="00E83929">
        <w:rPr>
          <w:rFonts w:ascii="Times New Roman" w:hAnsi="Times New Roman" w:cs="Times New Roman"/>
          <w:sz w:val="18"/>
          <w:szCs w:val="18"/>
        </w:rPr>
        <w:t xml:space="preserve"> of the original owner, nor can title by usucaption apply to a man when it comes to his wife's property, or vice-versa, when his wife comes to claim her husband's property.</w:t>
      </w:r>
      <w:r w:rsidR="00D364FF" w:rsidRPr="00E83929">
        <w:rPr>
          <w:rFonts w:ascii="Times New Roman" w:hAnsi="Times New Roman" w:cs="Times New Roman"/>
          <w:sz w:val="18"/>
          <w:szCs w:val="18"/>
        </w:rPr>
        <w:t xml:space="preserve"> </w:t>
      </w:r>
    </w:p>
    <w:p w14:paraId="125CB5BD" w14:textId="7D470884"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 </w:t>
      </w:r>
      <w:r w:rsidRPr="00D364FF">
        <w:rPr>
          <w:rFonts w:ascii="Times New Roman" w:hAnsi="Times New Roman" w:cs="Times New Roman"/>
          <w:sz w:val="18"/>
          <w:szCs w:val="18"/>
        </w:rPr>
        <w:t>Jewish custom</w:t>
      </w:r>
      <w:r w:rsidRPr="00E83929">
        <w:rPr>
          <w:rFonts w:ascii="Times New Roman" w:hAnsi="Times New Roman" w:cs="Times New Roman"/>
          <w:sz w:val="18"/>
          <w:szCs w:val="18"/>
        </w:rPr>
        <w:t xml:space="preserve"> in </w:t>
      </w:r>
      <w:r w:rsidRPr="00D364FF">
        <w:rPr>
          <w:rFonts w:ascii="Times New Roman" w:hAnsi="Times New Roman" w:cs="Times New Roman"/>
          <w:sz w:val="18"/>
          <w:szCs w:val="18"/>
        </w:rPr>
        <w:t>Jerusalem</w:t>
      </w:r>
      <w:r w:rsidRPr="00E83929">
        <w:rPr>
          <w:rFonts w:ascii="Times New Roman" w:hAnsi="Times New Roman" w:cs="Times New Roman"/>
          <w:sz w:val="18"/>
          <w:szCs w:val="18"/>
        </w:rPr>
        <w:t xml:space="preserve"> during </w:t>
      </w:r>
      <w:r w:rsidRPr="00D364FF">
        <w:rPr>
          <w:rFonts w:ascii="Times New Roman" w:hAnsi="Times New Roman" w:cs="Times New Roman"/>
          <w:sz w:val="18"/>
          <w:szCs w:val="18"/>
        </w:rPr>
        <w:t>Ottoman rule</w:t>
      </w:r>
      <w:r w:rsidRPr="00E83929">
        <w:rPr>
          <w:rFonts w:ascii="Times New Roman" w:hAnsi="Times New Roman" w:cs="Times New Roman"/>
          <w:sz w:val="18"/>
          <w:szCs w:val="18"/>
        </w:rPr>
        <w:t xml:space="preserve"> over </w:t>
      </w:r>
      <w:r w:rsidRPr="00D364FF">
        <w:rPr>
          <w:rFonts w:ascii="Times New Roman" w:hAnsi="Times New Roman" w:cs="Times New Roman"/>
          <w:sz w:val="18"/>
          <w:szCs w:val="18"/>
        </w:rPr>
        <w:t>Palestine</w:t>
      </w:r>
      <w:r w:rsidRPr="00E83929">
        <w:rPr>
          <w:rFonts w:ascii="Times New Roman" w:hAnsi="Times New Roman" w:cs="Times New Roman"/>
          <w:sz w:val="18"/>
          <w:szCs w:val="18"/>
        </w:rPr>
        <w:t xml:space="preserve"> was that wherever it was widely known by the public that a fellow Jew had been deprived of his property under the land tenure laws known as </w:t>
      </w:r>
      <w:proofErr w:type="spellStart"/>
      <w:r w:rsidRPr="00D364FF">
        <w:rPr>
          <w:rFonts w:ascii="Times New Roman" w:hAnsi="Times New Roman" w:cs="Times New Roman"/>
          <w:i/>
          <w:iCs/>
          <w:sz w:val="18"/>
          <w:szCs w:val="18"/>
        </w:rPr>
        <w:t>Mülk</w:t>
      </w:r>
      <w:proofErr w:type="spellEnd"/>
      <w:r w:rsidR="00D364FF">
        <w:rPr>
          <w:rFonts w:ascii="Times New Roman" w:hAnsi="Times New Roman" w:cs="Times New Roman"/>
          <w:sz w:val="18"/>
          <w:szCs w:val="18"/>
        </w:rPr>
        <w:t xml:space="preserve">, </w:t>
      </w:r>
      <w:r w:rsidRPr="00E83929">
        <w:rPr>
          <w:rFonts w:ascii="Times New Roman" w:hAnsi="Times New Roman" w:cs="Times New Roman"/>
          <w:sz w:val="18"/>
          <w:szCs w:val="18"/>
        </w:rPr>
        <w:t>where Jewish-owned land was given by the Ottoman conqueror to Muslims,</w:t>
      </w:r>
      <w:r w:rsidR="00EB1DAA" w:rsidRPr="00E83929">
        <w:rPr>
          <w:rFonts w:ascii="Times New Roman" w:hAnsi="Times New Roman" w:cs="Times New Roman"/>
          <w:sz w:val="18"/>
          <w:szCs w:val="18"/>
        </w:rPr>
        <w:t xml:space="preserve"> </w:t>
      </w:r>
      <w:r w:rsidRPr="00E83929">
        <w:rPr>
          <w:rFonts w:ascii="Times New Roman" w:hAnsi="Times New Roman" w:cs="Times New Roman"/>
          <w:sz w:val="18"/>
          <w:szCs w:val="18"/>
        </w:rPr>
        <w:t xml:space="preserve">or </w:t>
      </w:r>
      <w:proofErr w:type="spellStart"/>
      <w:r w:rsidRPr="00E83929">
        <w:rPr>
          <w:rFonts w:ascii="Times New Roman" w:hAnsi="Times New Roman" w:cs="Times New Roman"/>
          <w:sz w:val="18"/>
          <w:szCs w:val="18"/>
        </w:rPr>
        <w:t>Khuraj</w:t>
      </w:r>
      <w:proofErr w:type="spellEnd"/>
      <w:r w:rsidRPr="00E83929">
        <w:rPr>
          <w:rFonts w:ascii="Times New Roman" w:hAnsi="Times New Roman" w:cs="Times New Roman"/>
          <w:sz w:val="18"/>
          <w:szCs w:val="18"/>
        </w:rPr>
        <w:t xml:space="preserve"> lands given to Christians and taxed, in exchange for Muslim protection, which same lands became </w:t>
      </w:r>
      <w:r w:rsidRPr="00EB1DAA">
        <w:rPr>
          <w:rFonts w:ascii="Times New Roman" w:hAnsi="Times New Roman" w:cs="Times New Roman"/>
          <w:i/>
          <w:iCs/>
          <w:sz w:val="18"/>
          <w:szCs w:val="18"/>
        </w:rPr>
        <w:t>private</w:t>
      </w:r>
      <w:r w:rsidRPr="00E83929">
        <w:rPr>
          <w:rFonts w:ascii="Times New Roman" w:hAnsi="Times New Roman" w:cs="Times New Roman"/>
          <w:sz w:val="18"/>
          <w:szCs w:val="18"/>
        </w:rPr>
        <w:t xml:space="preserve"> or </w:t>
      </w:r>
      <w:r w:rsidRPr="00EB1DAA">
        <w:rPr>
          <w:rFonts w:ascii="Times New Roman" w:hAnsi="Times New Roman" w:cs="Times New Roman"/>
          <w:b/>
          <w:bCs/>
          <w:i/>
          <w:iCs/>
          <w:sz w:val="18"/>
          <w:szCs w:val="18"/>
        </w:rPr>
        <w:t>allodial land</w:t>
      </w:r>
      <w:r w:rsidRPr="00E83929">
        <w:rPr>
          <w:rFonts w:ascii="Times New Roman" w:hAnsi="Times New Roman" w:cs="Times New Roman"/>
          <w:sz w:val="18"/>
          <w:szCs w:val="18"/>
        </w:rPr>
        <w:t>, held in absolute ownership, the usurping occupant was divested of his property and the property returned to its rightful owner, even if the owner could not show proof of purchase.</w:t>
      </w:r>
      <w:r w:rsidR="00EB1DAA" w:rsidRPr="00E83929">
        <w:rPr>
          <w:rFonts w:ascii="Times New Roman" w:hAnsi="Times New Roman" w:cs="Times New Roman"/>
          <w:sz w:val="18"/>
          <w:szCs w:val="18"/>
        </w:rPr>
        <w:t xml:space="preserve"> </w:t>
      </w:r>
    </w:p>
    <w:p w14:paraId="38089D4B" w14:textId="77777777" w:rsidR="00E83929" w:rsidRDefault="00E83929" w:rsidP="00E83929">
      <w:pPr>
        <w:spacing w:line="240" w:lineRule="auto"/>
        <w:jc w:val="both"/>
        <w:rPr>
          <w:rFonts w:ascii="Times New Roman" w:hAnsi="Times New Roman" w:cs="Times New Roman"/>
          <w:b/>
          <w:bCs/>
          <w:sz w:val="18"/>
          <w:szCs w:val="18"/>
        </w:rPr>
      </w:pPr>
    </w:p>
    <w:p w14:paraId="19A09CF9" w14:textId="0196B0E4" w:rsidR="00EB1DAA" w:rsidRDefault="00EB1DAA" w:rsidP="00EB1DAA">
      <w:pPr>
        <w:spacing w:line="240" w:lineRule="auto"/>
        <w:jc w:val="center"/>
        <w:rPr>
          <w:rFonts w:ascii="Times New Roman" w:hAnsi="Times New Roman" w:cs="Times New Roman"/>
          <w:b/>
          <w:bCs/>
          <w:sz w:val="18"/>
          <w:szCs w:val="18"/>
        </w:rPr>
      </w:pPr>
      <w:r>
        <w:rPr>
          <w:rFonts w:ascii="Times New Roman" w:hAnsi="Times New Roman" w:cs="Times New Roman"/>
          <w:b/>
          <w:bCs/>
          <w:sz w:val="18"/>
          <w:szCs w:val="18"/>
        </w:rPr>
        <w:t>--- END OF EXHIBIT ---</w:t>
      </w:r>
    </w:p>
    <w:p w14:paraId="3DD7E915" w14:textId="77777777" w:rsidR="00EB1DAA" w:rsidRDefault="00EB1DAA" w:rsidP="00EB1DAA">
      <w:pPr>
        <w:spacing w:line="240" w:lineRule="auto"/>
        <w:jc w:val="center"/>
        <w:rPr>
          <w:rFonts w:ascii="Times New Roman" w:hAnsi="Times New Roman" w:cs="Times New Roman"/>
          <w:b/>
          <w:bCs/>
          <w:sz w:val="18"/>
          <w:szCs w:val="18"/>
        </w:rPr>
      </w:pPr>
    </w:p>
    <w:p w14:paraId="1944148C" w14:textId="766479CF" w:rsidR="00EB1DAA" w:rsidRPr="00EB1DAA" w:rsidRDefault="00EB1DAA" w:rsidP="00EB1DAA">
      <w:pPr>
        <w:spacing w:line="240" w:lineRule="auto"/>
        <w:jc w:val="center"/>
        <w:rPr>
          <w:rFonts w:ascii="Times New Roman" w:hAnsi="Times New Roman" w:cs="Times New Roman"/>
          <w:sz w:val="18"/>
          <w:szCs w:val="18"/>
        </w:rPr>
      </w:pPr>
      <w:r>
        <w:rPr>
          <w:rFonts w:ascii="Times New Roman" w:hAnsi="Times New Roman" w:cs="Times New Roman"/>
          <w:sz w:val="18"/>
          <w:szCs w:val="18"/>
        </w:rPr>
        <w:t>BELOW LEFT INTENTIONALLY BLANK</w:t>
      </w: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Law-Concepts Research Brief — Adverse Possession, Seditious Conspiracy &amp; Treason, L3C</w:t>
      </w:r>
    </w:p>
    <w:p>
      <w:pPr>
        <w:jc w:val="both"/>
      </w:pPr>
      <w:r>
        <w:rPr>
          <w:rFonts w:ascii="EB Garamond" w:hAnsi="EB Garamond" w:cs="EB Garamond"/>
          <w:b/>
          <w:i w:val="0"/>
          <w:color w:val="26282E"/>
          <w:sz w:val="21"/>
        </w:rPr>
        <w:t>Exhibit docs covered</w:t>
      </w:r>
      <w:r>
        <w:rPr>
          <w:rFonts w:ascii="EB Garamond" w:hAnsi="EB Garamond" w:cs="EB Garamond"/>
          <w:b w:val="0"/>
          <w:i w:val="0"/>
          <w:color w:val="26282E"/>
          <w:sz w:val="21"/>
        </w:rPr>
        <w:t xml:space="preserve"> (</w:t>
      </w:r>
      <w:r>
        <w:rPr>
          <w:rFonts w:ascii="Montserrat" w:hAnsi="Montserrat" w:cs="Montserrat"/>
          <w:b w:val="0"/>
          <w:i w:val="0"/>
          <w:color w:val="3A4356"/>
          <w:sz w:val="16"/>
        </w:rPr>
        <w:t>raw/</w:t>
      </w:r>
      <w:r>
        <w:rPr>
          <w:rFonts w:ascii="EB Garamond" w:hAnsi="EB Garamond" w:cs="EB Garamond"/>
          <w:b w:val="0"/>
          <w:i w:val="0"/>
          <w:color w:val="26282E"/>
          <w:sz w:val="21"/>
        </w:rPr>
        <w:t xml:space="preserve">): </w:t>
      </w:r>
      <w:r>
        <w:rPr>
          <w:rFonts w:ascii="Montserrat" w:hAnsi="Montserrat" w:cs="Montserrat"/>
          <w:b w:val="0"/>
          <w:i w:val="0"/>
          <w:color w:val="3A4356"/>
          <w:sz w:val="16"/>
        </w:rPr>
        <w:t>Squatting or Adverse possession.md</w:t>
      </w:r>
      <w:r>
        <w:rPr>
          <w:rFonts w:ascii="EB Garamond" w:hAnsi="EB Garamond" w:cs="EB Garamond"/>
          <w:b w:val="0"/>
          <w:i w:val="0"/>
          <w:color w:val="26282E"/>
          <w:sz w:val="21"/>
        </w:rPr>
        <w:t xml:space="preserve"> (93 KB, 561 lines) and </w:t>
      </w:r>
      <w:r>
        <w:rPr>
          <w:rFonts w:ascii="Montserrat" w:hAnsi="Montserrat" w:cs="Montserrat"/>
          <w:b w:val="0"/>
          <w:i w:val="0"/>
          <w:color w:val="3A4356"/>
          <w:sz w:val="16"/>
        </w:rPr>
        <w:t>DISCLAIMER - Seditious Conspiracy &amp; Treason via L3C formation.md</w:t>
      </w:r>
      <w:r>
        <w:rPr>
          <w:rFonts w:ascii="EB Garamond" w:hAnsi="EB Garamond" w:cs="EB Garamond"/>
          <w:b w:val="0"/>
          <w:i w:val="0"/>
          <w:color w:val="26282E"/>
          <w:sz w:val="21"/>
        </w:rPr>
        <w:t xml:space="preserve"> (52 KB, 287 lines) plus its </w:t>
      </w:r>
      <w:r>
        <w:rPr>
          <w:rFonts w:ascii="Montserrat" w:hAnsi="Montserrat" w:cs="Montserrat"/>
          <w:b w:val="0"/>
          <w:i w:val="0"/>
          <w:color w:val="3A4356"/>
          <w:sz w:val="16"/>
        </w:rPr>
        <w:t>VERSION 1</w:t>
      </w:r>
      <w:r>
        <w:rPr>
          <w:rFonts w:ascii="EB Garamond" w:hAnsi="EB Garamond" w:cs="EB Garamond"/>
          <w:b w:val="0"/>
          <w:i w:val="0"/>
          <w:color w:val="26282E"/>
          <w:sz w:val="21"/>
        </w:rPr>
        <w:t xml:space="preserve"> variant (same topic; diff noted in §1.3). Educational-exhibit context: keep every word, test every claim. Method note: each claim below was checked against primary sources (statutes at uscode.house.gov / NY Senate / Cornell LII; court opinions at Cornell, CourtListener, Justia; AP reporting; NARA). Written 2026-10-13.</w:t>
      </w:r>
    </w:p>
    <w:p>
      <w:pPr>
        <w:pBdr>
          <w:bottom w:val="single" w:sz="6" w:space="1" w:color="B9975B"/>
        </w:pBdr>
      </w:pPr>
    </w:p>
    <w:p>
      <w:pPr>
        <w:keepNext/>
        <w:spacing w:before="240"/>
      </w:pPr>
      <w:r>
        <w:rPr>
          <w:rFonts w:ascii="EB Garamond" w:hAnsi="EB Garamond" w:cs="EB Garamond"/>
          <w:b/>
          <w:i w:val="0"/>
          <w:color w:val="1B2A41"/>
          <w:sz w:val="28"/>
        </w:rPr>
        <w:t>1. CLAIMS / CONTENT MAP</w:t>
      </w:r>
    </w:p>
    <w:p>
      <w:pPr>
        <w:jc w:val="both"/>
      </w:pPr>
      <w:r>
        <w:rPr>
          <w:rFonts w:ascii="EB Garamond" w:hAnsi="EB Garamond" w:cs="EB Garamond"/>
          <w:b w:val="0"/>
          <w:i w:val="0"/>
          <w:color w:val="26282E"/>
          <w:sz w:val="21"/>
        </w:rPr>
        <w:t>Both documents are "patchwork" texts: long stretches of accurate, Wikipedia-grade reference prose with sovereign-citizen pseudo-law spliced in. The pattern matters for exhibition — the reliable parts give the pseudo-law its camouflage.</w:t>
      </w:r>
    </w:p>
    <w:p>
      <w:pPr>
        <w:keepNext/>
      </w:pPr>
      <w:r>
        <w:rPr>
          <w:rFonts w:ascii="EB Garamond" w:hAnsi="EB Garamond" w:cs="EB Garamond"/>
          <w:b/>
          <w:i w:val="0"/>
          <w:color w:val="B54E1F"/>
          <w:sz w:val="23"/>
        </w:rPr>
        <w:t xml:space="preserve">1.1 </w:t>
      </w:r>
      <w:r>
        <w:rPr>
          <w:rFonts w:ascii="Montserrat" w:hAnsi="Montserrat" w:cs="Montserrat"/>
          <w:b w:val="0"/>
          <w:i w:val="0"/>
          <w:color w:val="3A4356"/>
          <w:sz w:val="18"/>
        </w:rPr>
        <w:t>Squatting or Adverse possession.md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color w:val="26282E"/>
                <w:sz w:val="19"/>
              </w:rPr>
              <w:t>Ignorantia juris non excusat</w:t>
            </w:r>
            <w:r>
              <w:rPr>
                <w:rFonts w:ascii="EB Garamond" w:hAnsi="EB Garamond" w:cs="EB Garamond"/>
                <w:b w:val="0"/>
                <w:i w:val="0"/>
                <w:color w:val="26282E"/>
                <w:sz w:val="19"/>
              </w:rPr>
              <w:t>, agnotology</w:t>
            </w:r>
          </w:p>
        </w:tc>
        <w:tc>
          <w:tcPr>
            <w:tcW w:type="dxa" w:w="3120"/>
          </w:tcPr>
          <w:p>
            <w:r>
              <w:rPr>
                <w:rFonts w:ascii="EB Garamond" w:hAnsi="EB Garamond" w:cs="EB Garamond"/>
                <w:b w:val="0"/>
                <w:i w:val="0"/>
                <w:color w:val="26282E"/>
                <w:sz w:val="19"/>
              </w:rPr>
              <w:t>Accurate reference material; thematically irrelevant to adverse possession</w:t>
            </w:r>
          </w:p>
        </w:tc>
      </w:tr>
      <w:tr>
        <w:tc>
          <w:tcPr>
            <w:tcW w:type="dxa" w:w="3120"/>
          </w:tcPr>
          <w:p>
            <w:r>
              <w:rPr>
                <w:rFonts w:ascii="EB Garamond" w:hAnsi="EB Garamond" w:cs="EB Garamond"/>
                <w:b w:val="0"/>
                <w:i w:val="0"/>
                <w:color w:val="26282E"/>
                <w:sz w:val="19"/>
              </w:rPr>
              <w:t>5–15</w:t>
            </w:r>
          </w:p>
        </w:tc>
        <w:tc>
          <w:tcPr>
            <w:tcW w:type="dxa" w:w="3120"/>
          </w:tcPr>
          <w:p>
            <w:r>
              <w:rPr>
                <w:rFonts w:ascii="EB Garamond" w:hAnsi="EB Garamond" w:cs="EB Garamond"/>
                <w:b w:val="0"/>
                <w:i w:val="0"/>
                <w:color w:val="26282E"/>
                <w:sz w:val="19"/>
              </w:rPr>
              <w:t>"Adverse abandonment" (STB / 49 U.S.C. § 10903 / Bankruptcy Code § 1170 rail-line abandonment)</w:t>
            </w:r>
          </w:p>
        </w:tc>
        <w:tc>
          <w:tcPr>
            <w:tcW w:type="dxa" w:w="3120"/>
          </w:tcPr>
          <w:p>
            <w:r>
              <w:rPr>
                <w:rFonts w:ascii="EB Garamond" w:hAnsi="EB Garamond" w:cs="EB Garamond"/>
                <w:b/>
                <w:i w:val="0"/>
                <w:color w:val="26282E"/>
                <w:sz w:val="19"/>
              </w:rPr>
              <w:t>Accurate but off-topic</w:t>
            </w:r>
            <w:r>
              <w:rPr>
                <w:rFonts w:ascii="EB Garamond" w:hAnsi="EB Garamond" w:cs="EB Garamond"/>
                <w:b w:val="0"/>
                <w:i w:val="0"/>
                <w:color w:val="26282E"/>
                <w:sz w:val="19"/>
              </w:rPr>
              <w:t xml:space="preserve"> — a real railroad-regulation term placed to make "adverse" do heavy lifting</w:t>
            </w:r>
          </w:p>
        </w:tc>
      </w:tr>
      <w:tr>
        <w:tc>
          <w:tcPr>
            <w:tcW w:type="dxa" w:w="3120"/>
          </w:tcPr>
          <w:p>
            <w:r>
              <w:rPr>
                <w:rFonts w:ascii="EB Garamond" w:hAnsi="EB Garamond" w:cs="EB Garamond"/>
                <w:b w:val="0"/>
                <w:i w:val="0"/>
                <w:color w:val="26282E"/>
                <w:sz w:val="19"/>
              </w:rPr>
              <w:t>17–37</w:t>
            </w:r>
          </w:p>
        </w:tc>
        <w:tc>
          <w:tcPr>
            <w:tcW w:type="dxa" w:w="3120"/>
          </w:tcPr>
          <w:p>
            <w:r>
              <w:rPr>
                <w:rFonts w:ascii="EB Garamond" w:hAnsi="EB Garamond" w:cs="EB Garamond"/>
                <w:b w:val="0"/>
                <w:i w:val="0"/>
                <w:color w:val="26282E"/>
                <w:sz w:val="19"/>
              </w:rPr>
              <w:t>Adverse possession / acquisitive prescription / usucaption intro; padded digressions on common law, statutes, sovereign states, polities, cities, legislatures</w:t>
            </w:r>
          </w:p>
        </w:tc>
        <w:tc>
          <w:tcPr>
            <w:tcW w:type="dxa" w:w="3120"/>
          </w:tcPr>
          <w:p>
            <w:r>
              <w:rPr>
                <w:rFonts w:ascii="EB Garamond" w:hAnsi="EB Garamond" w:cs="EB Garamond"/>
                <w:b w:val="0"/>
                <w:i w:val="0"/>
                <w:color w:val="26282E"/>
                <w:sz w:val="19"/>
              </w:rPr>
              <w:t xml:space="preserve">Core definition </w:t>
            </w:r>
            <w:r>
              <w:rPr>
                <w:rFonts w:ascii="EB Garamond" w:hAnsi="EB Garamond" w:cs="EB Garamond"/>
                <w:b/>
                <w:i w:val="0"/>
                <w:color w:val="26282E"/>
                <w:sz w:val="19"/>
              </w:rPr>
              <w:t>accurate</w:t>
            </w:r>
            <w:r>
              <w:rPr>
                <w:rFonts w:ascii="EB Garamond" w:hAnsi="EB Garamond" w:cs="EB Garamond"/>
                <w:b w:val="0"/>
                <w:i w:val="0"/>
                <w:color w:val="26282E"/>
                <w:sz w:val="19"/>
              </w:rPr>
              <w:t xml:space="preserve"> (elements, statute-of-limitations structure); the sovereign-state and "legal title cannot be acquired in an extralegal jurisdiction" (l.41) padding is thematic seeding for the sovCit use</w:t>
            </w:r>
          </w:p>
        </w:tc>
      </w:tr>
      <w:tr>
        <w:tc>
          <w:tcPr>
            <w:tcW w:type="dxa" w:w="3120"/>
          </w:tcPr>
          <w:p>
            <w:r>
              <w:rPr>
                <w:rFonts w:ascii="EB Garamond" w:hAnsi="EB Garamond" w:cs="EB Garamond"/>
                <w:b w:val="0"/>
                <w:i w:val="0"/>
                <w:color w:val="26282E"/>
                <w:sz w:val="19"/>
              </w:rPr>
              <w:t>39–69</w:t>
            </w:r>
          </w:p>
        </w:tc>
        <w:tc>
          <w:tcPr>
            <w:tcW w:type="dxa" w:w="3120"/>
          </w:tcPr>
          <w:p>
            <w:r>
              <w:rPr>
                <w:rFonts w:ascii="EB Garamond" w:hAnsi="EB Garamond" w:cs="EB Garamond"/>
                <w:b w:val="0"/>
                <w:i w:val="0"/>
                <w:color w:val="26282E"/>
                <w:sz w:val="19"/>
              </w:rPr>
              <w:t xml:space="preserve">General doctrine, Roman law, Limitation Act 1623, </w:t>
            </w:r>
            <w:r>
              <w:rPr>
                <w:rFonts w:ascii="EB Garamond" w:hAnsi="EB Garamond" w:cs="EB Garamond"/>
                <w:b w:val="0"/>
                <w:i/>
                <w:color w:val="26282E"/>
                <w:sz w:val="19"/>
              </w:rPr>
              <w:t>nullum tempus occurrit regi</w:t>
            </w:r>
            <w:r>
              <w:rPr>
                <w:rFonts w:ascii="EB Garamond" w:hAnsi="EB Garamond" w:cs="EB Garamond"/>
                <w:b w:val="0"/>
                <w:i w:val="0"/>
                <w:color w:val="26282E"/>
                <w:sz w:val="19"/>
              </w:rPr>
              <w:t xml:space="preserve"> (government land immune), Torrens systems</w:t>
            </w:r>
          </w:p>
        </w:tc>
        <w:tc>
          <w:tcPr>
            <w:tcW w:type="dxa" w:w="3120"/>
          </w:tcPr>
          <w:p>
            <w:r>
              <w:rPr>
                <w:rFonts w:ascii="EB Garamond" w:hAnsi="EB Garamond" w:cs="EB Garamond"/>
                <w:b/>
                <w:i w:val="0"/>
                <w:color w:val="26282E"/>
                <w:sz w:val="19"/>
              </w:rPr>
              <w:t>Accurate textbook material</w:t>
            </w:r>
          </w:p>
        </w:tc>
      </w:tr>
      <w:tr>
        <w:tc>
          <w:tcPr>
            <w:tcW w:type="dxa" w:w="3120"/>
          </w:tcPr>
          <w:p>
            <w:r>
              <w:rPr>
                <w:rFonts w:ascii="EB Garamond" w:hAnsi="EB Garamond" w:cs="EB Garamond"/>
                <w:b w:val="0"/>
                <w:i w:val="0"/>
                <w:color w:val="26282E"/>
                <w:sz w:val="19"/>
              </w:rPr>
              <w:t>71–103</w:t>
            </w:r>
          </w:p>
        </w:tc>
        <w:tc>
          <w:tcPr>
            <w:tcW w:type="dxa" w:w="3120"/>
          </w:tcPr>
          <w:p>
            <w:r>
              <w:rPr>
                <w:rFonts w:ascii="EB Garamond" w:hAnsi="EB Garamond" w:cs="EB Garamond"/>
                <w:b w:val="0"/>
                <w:i w:val="0"/>
                <w:color w:val="26282E"/>
                <w:sz w:val="19"/>
              </w:rPr>
              <w:t xml:space="preserve">England &amp; Wales: Limitation Act 1980, LRA 2002 sch. 6, </w:t>
            </w:r>
            <w:r>
              <w:rPr>
                <w:rFonts w:ascii="EB Garamond" w:hAnsi="EB Garamond" w:cs="EB Garamond"/>
                <w:b w:val="0"/>
                <w:i/>
                <w:color w:val="26282E"/>
                <w:sz w:val="19"/>
              </w:rPr>
              <w:t>JA Pye (Oxford) v Graham</w:t>
            </w:r>
            <w:r>
              <w:rPr>
                <w:rFonts w:ascii="EB Garamond" w:hAnsi="EB Garamond" w:cs="EB Garamond"/>
                <w:b w:val="0"/>
                <w:i w:val="0"/>
                <w:color w:val="26282E"/>
                <w:sz w:val="19"/>
              </w:rPr>
              <w:t xml:space="preserve">, </w:t>
            </w:r>
            <w:r>
              <w:rPr>
                <w:rFonts w:ascii="EB Garamond" w:hAnsi="EB Garamond" w:cs="EB Garamond"/>
                <w:b w:val="0"/>
                <w:i/>
                <w:color w:val="26282E"/>
                <w:sz w:val="19"/>
              </w:rPr>
              <w:t>Best v Chief Land Registrar</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(UK law is correct as stated)</w:t>
            </w:r>
          </w:p>
        </w:tc>
      </w:tr>
      <w:tr>
        <w:tc>
          <w:tcPr>
            <w:tcW w:type="dxa" w:w="3120"/>
          </w:tcPr>
          <w:p>
            <w:r>
              <w:rPr>
                <w:rFonts w:ascii="EB Garamond" w:hAnsi="EB Garamond" w:cs="EB Garamond"/>
                <w:b w:val="0"/>
                <w:i w:val="0"/>
                <w:color w:val="26282E"/>
                <w:sz w:val="19"/>
              </w:rPr>
              <w:t>105–151</w:t>
            </w:r>
          </w:p>
        </w:tc>
        <w:tc>
          <w:tcPr>
            <w:tcW w:type="dxa" w:w="3120"/>
          </w:tcPr>
          <w:p>
            <w:r>
              <w:rPr>
                <w:rFonts w:ascii="EB Garamond" w:hAnsi="EB Garamond" w:cs="EB Garamond"/>
                <w:b w:val="0"/>
                <w:i w:val="0"/>
                <w:color w:val="26282E"/>
                <w:sz w:val="19"/>
              </w:rPr>
              <w:t xml:space="preserve">US disseisor requirements, additional elements, </w:t>
            </w:r>
            <w:r>
              <w:rPr>
                <w:rFonts w:ascii="EB Garamond" w:hAnsi="EB Garamond" w:cs="EB Garamond"/>
                <w:b/>
                <w:i w:val="0"/>
                <w:color w:val="26282E"/>
                <w:sz w:val="19"/>
              </w:rPr>
              <w:t>2008 NY amendment</w:t>
            </w:r>
            <w:r>
              <w:rPr>
                <w:rFonts w:ascii="EB Garamond" w:hAnsi="EB Garamond" w:cs="EB Garamond"/>
                <w:b w:val="0"/>
                <w:i w:val="0"/>
                <w:color w:val="26282E"/>
                <w:sz w:val="19"/>
              </w:rPr>
              <w:t xml:space="preserve"> (l.127–133), </w:t>
            </w:r>
            <w:r>
              <w:rPr>
                <w:rFonts w:ascii="EB Garamond" w:hAnsi="EB Garamond" w:cs="EB Garamond"/>
                <w:b w:val="0"/>
                <w:i/>
                <w:color w:val="26282E"/>
                <w:sz w:val="19"/>
              </w:rPr>
              <w:t>Hudson Square Hotel</w:t>
            </w:r>
            <w:r>
              <w:rPr>
                <w:rFonts w:ascii="EB Garamond" w:hAnsi="EB Garamond" w:cs="EB Garamond"/>
                <w:b w:val="0"/>
                <w:i w:val="0"/>
                <w:color w:val="26282E"/>
                <w:sz w:val="19"/>
              </w:rPr>
              <w:t xml:space="preserve"> air-rights holding, quiet title, abutters</w:t>
            </w:r>
          </w:p>
        </w:tc>
        <w:tc>
          <w:tcPr>
            <w:tcW w:type="dxa" w:w="3120"/>
          </w:tcPr>
          <w:p>
            <w:r>
              <w:rPr>
                <w:rFonts w:ascii="EB Garamond" w:hAnsi="EB Garamond" w:cs="EB Garamond"/>
                <w:b w:val="0"/>
                <w:i w:val="0"/>
                <w:color w:val="26282E"/>
                <w:sz w:val="19"/>
              </w:rPr>
              <w:t xml:space="preserve">Mostly </w:t>
            </w:r>
            <w:r>
              <w:rPr>
                <w:rFonts w:ascii="EB Garamond" w:hAnsi="EB Garamond" w:cs="EB Garamond"/>
                <w:b/>
                <w:i w:val="0"/>
                <w:color w:val="26282E"/>
                <w:sz w:val="19"/>
              </w:rPr>
              <w:t>accurate</w:t>
            </w:r>
            <w:r>
              <w:rPr>
                <w:rFonts w:ascii="EB Garamond" w:hAnsi="EB Garamond" w:cs="EB Garamond"/>
                <w:b w:val="0"/>
                <w:i w:val="0"/>
                <w:color w:val="26282E"/>
                <w:sz w:val="19"/>
              </w:rPr>
              <w:t>; see §2.1 for the NY specifics it gets right and the Savannah River claim it garbles (l.151 — §3.8)</w:t>
            </w:r>
          </w:p>
        </w:tc>
      </w:tr>
      <w:tr>
        <w:tc>
          <w:tcPr>
            <w:tcW w:type="dxa" w:w="3120"/>
          </w:tcPr>
          <w:p>
            <w:r>
              <w:rPr>
                <w:rFonts w:ascii="EB Garamond" w:hAnsi="EB Garamond" w:cs="EB Garamond"/>
                <w:b w:val="0"/>
                <w:i w:val="0"/>
                <w:color w:val="26282E"/>
                <w:sz w:val="19"/>
              </w:rPr>
              <w:t>153–156</w:t>
            </w:r>
          </w:p>
        </w:tc>
        <w:tc>
          <w:tcPr>
            <w:tcW w:type="dxa" w:w="3120"/>
          </w:tcPr>
          <w:p>
            <w:r>
              <w:rPr>
                <w:rFonts w:ascii="EB Garamond" w:hAnsi="EB Garamond" w:cs="EB Garamond"/>
                <w:b w:val="0"/>
                <w:i w:val="0"/>
                <w:color w:val="26282E"/>
                <w:sz w:val="19"/>
              </w:rPr>
              <w:t>Louisiana acquisitive prescription, Civil Code art. 3473/742 structure (10-yr good-faith/just-title; 30-yr without)</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157–169</w:t>
            </w:r>
          </w:p>
        </w:tc>
        <w:tc>
          <w:tcPr>
            <w:tcW w:type="dxa" w:w="3120"/>
          </w:tcPr>
          <w:p>
            <w:r>
              <w:rPr>
                <w:rFonts w:ascii="EB Garamond" w:hAnsi="EB Garamond" w:cs="EB Garamond"/>
                <w:b w:val="0"/>
                <w:i w:val="0"/>
                <w:color w:val="26282E"/>
                <w:sz w:val="19"/>
              </w:rPr>
              <w:t>"Squatter's rights" defined; tacking/privity; clock resets; England LASPO s.144 vs adverse possession</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 this is the single most relevant passage for the NY squatter controversy (§2.1.4)</w:t>
            </w:r>
          </w:p>
        </w:tc>
      </w:tr>
      <w:tr>
        <w:tc>
          <w:tcPr>
            <w:tcW w:type="dxa" w:w="3120"/>
          </w:tcPr>
          <w:p>
            <w:r>
              <w:rPr>
                <w:rFonts w:ascii="EB Garamond" w:hAnsi="EB Garamond" w:cs="EB Garamond"/>
                <w:b w:val="0"/>
                <w:i w:val="0"/>
                <w:color w:val="26282E"/>
                <w:sz w:val="19"/>
              </w:rPr>
              <w:t>171–187</w:t>
            </w:r>
          </w:p>
        </w:tc>
        <w:tc>
          <w:tcPr>
            <w:tcW w:type="dxa" w:w="3120"/>
          </w:tcPr>
          <w:p>
            <w:r>
              <w:rPr>
                <w:rFonts w:ascii="EB Garamond" w:hAnsi="EB Garamond" w:cs="EB Garamond"/>
                <w:b w:val="0"/>
                <w:i w:val="0"/>
                <w:color w:val="26282E"/>
                <w:sz w:val="19"/>
              </w:rPr>
              <w:t>Utilitarian justifications; IP-law extension scholarship</w:t>
            </w:r>
          </w:p>
        </w:tc>
        <w:tc>
          <w:tcPr>
            <w:tcW w:type="dxa" w:w="3120"/>
          </w:tcPr>
          <w:p>
            <w:r>
              <w:rPr>
                <w:rFonts w:ascii="EB Garamond" w:hAnsi="EB Garamond" w:cs="EB Garamond"/>
                <w:b/>
                <w:i w:val="0"/>
                <w:color w:val="26282E"/>
                <w:sz w:val="19"/>
              </w:rPr>
              <w:t>Accurate</w:t>
            </w:r>
          </w:p>
        </w:tc>
      </w:tr>
      <w:tr>
        <w:tc>
          <w:tcPr>
            <w:tcW w:type="dxa" w:w="3120"/>
          </w:tcPr>
          <w:p>
            <w:r>
              <w:rPr>
                <w:rFonts w:ascii="EB Garamond" w:hAnsi="EB Garamond" w:cs="EB Garamond"/>
                <w:b w:val="0"/>
                <w:i w:val="0"/>
                <w:color w:val="26282E"/>
                <w:sz w:val="19"/>
              </w:rPr>
              <w:t>189–329</w:t>
            </w:r>
          </w:p>
        </w:tc>
        <w:tc>
          <w:tcPr>
            <w:tcW w:type="dxa" w:w="3120"/>
          </w:tcPr>
          <w:p>
            <w:r>
              <w:rPr>
                <w:rFonts w:ascii="EB Garamond" w:hAnsi="EB Garamond" w:cs="EB Garamond"/>
                <w:b/>
                <w:i w:val="0"/>
                <w:color w:val="26282E"/>
                <w:sz w:val="19"/>
              </w:rPr>
              <w:t>Fiat money</w:t>
            </w:r>
            <w:r>
              <w:rPr>
                <w:rFonts w:ascii="EB Garamond" w:hAnsi="EB Garamond" w:cs="EB Garamond"/>
                <w:b w:val="0"/>
                <w:i w:val="0"/>
                <w:color w:val="26282E"/>
                <w:sz w:val="19"/>
              </w:rPr>
              <w:t xml:space="preserve"> (≈40% of the doc): China/jiaozi, New France playing-card money, Bretton Woods, Nixon shock, money creation, inflation debates</w:t>
            </w:r>
          </w:p>
        </w:tc>
        <w:tc>
          <w:tcPr>
            <w:tcW w:type="dxa" w:w="3120"/>
          </w:tcPr>
          <w:p>
            <w:r>
              <w:rPr>
                <w:rFonts w:ascii="EB Garamond" w:hAnsi="EB Garamond" w:cs="EB Garamond"/>
                <w:b w:val="0"/>
                <w:i w:val="0"/>
                <w:color w:val="26282E"/>
                <w:sz w:val="19"/>
              </w:rPr>
              <w:t xml:space="preserve">Accurate reference material but </w:t>
            </w:r>
            <w:r>
              <w:rPr>
                <w:rFonts w:ascii="EB Garamond" w:hAnsi="EB Garamond" w:cs="EB Garamond"/>
                <w:b/>
                <w:i w:val="0"/>
                <w:color w:val="26282E"/>
                <w:sz w:val="19"/>
              </w:rPr>
              <w:t>entirely off-topic</w:t>
            </w:r>
            <w:r>
              <w:rPr>
                <w:rFonts w:ascii="EB Garamond" w:hAnsi="EB Garamond" w:cs="EB Garamond"/>
                <w:b w:val="0"/>
                <w:i w:val="0"/>
                <w:color w:val="26282E"/>
                <w:sz w:val="19"/>
              </w:rPr>
              <w:t>; included to frame currency/tax grievances</w:t>
            </w:r>
          </w:p>
        </w:tc>
      </w:tr>
      <w:tr>
        <w:tc>
          <w:tcPr>
            <w:tcW w:type="dxa" w:w="3120"/>
          </w:tcPr>
          <w:p>
            <w:r>
              <w:rPr>
                <w:rFonts w:ascii="EB Garamond" w:hAnsi="EB Garamond" w:cs="EB Garamond"/>
                <w:b w:val="0"/>
                <w:i w:val="0"/>
                <w:color w:val="26282E"/>
                <w:sz w:val="19"/>
              </w:rPr>
              <w:t>331–357</w:t>
            </w:r>
          </w:p>
        </w:tc>
        <w:tc>
          <w:tcPr>
            <w:tcW w:type="dxa" w:w="3120"/>
          </w:tcPr>
          <w:p>
            <w:r>
              <w:rPr>
                <w:rFonts w:ascii="EB Garamond" w:hAnsi="EB Garamond" w:cs="EB Garamond"/>
                <w:b w:val="0"/>
                <w:i w:val="0"/>
                <w:color w:val="26282E"/>
                <w:sz w:val="19"/>
              </w:rPr>
              <w:t>"See also" list (Preemption Act of 1841, easement, lien, etc.)</w:t>
            </w:r>
          </w:p>
        </w:tc>
        <w:tc>
          <w:tcPr>
            <w:tcW w:type="dxa" w:w="3120"/>
          </w:tcPr>
          <w:p>
            <w:r>
              <w:rPr>
                <w:rFonts w:ascii="EB Garamond" w:hAnsi="EB Garamond" w:cs="EB Garamond"/>
                <w:b w:val="0"/>
                <w:i w:val="0"/>
                <w:color w:val="26282E"/>
                <w:sz w:val="19"/>
              </w:rPr>
              <w:t>Navigation stub</w:t>
            </w:r>
          </w:p>
        </w:tc>
      </w:tr>
      <w:tr>
        <w:tc>
          <w:tcPr>
            <w:tcW w:type="dxa" w:w="3120"/>
          </w:tcPr>
          <w:p>
            <w:r>
              <w:rPr>
                <w:rFonts w:ascii="EB Garamond" w:hAnsi="EB Garamond" w:cs="EB Garamond"/>
                <w:b w:val="0"/>
                <w:i w:val="0"/>
                <w:color w:val="26282E"/>
                <w:sz w:val="19"/>
              </w:rPr>
              <w:t>359–513</w:t>
            </w:r>
          </w:p>
        </w:tc>
        <w:tc>
          <w:tcPr>
            <w:tcW w:type="dxa" w:w="3120"/>
          </w:tcPr>
          <w:p>
            <w:r>
              <w:rPr>
                <w:rFonts w:ascii="EB Garamond" w:hAnsi="EB Garamond" w:cs="EB Garamond"/>
                <w:b w:val="0"/>
                <w:i w:val="0"/>
                <w:color w:val="26282E"/>
                <w:sz w:val="19"/>
              </w:rPr>
              <w:t xml:space="preserve">Philippine acquisitive/extinctive prescription (Arts. 1106–1155); Roman </w:t>
            </w:r>
            <w:r>
              <w:rPr>
                <w:rFonts w:ascii="EB Garamond" w:hAnsi="EB Garamond" w:cs="EB Garamond"/>
                <w:b w:val="0"/>
                <w:i/>
                <w:color w:val="26282E"/>
                <w:sz w:val="19"/>
              </w:rPr>
              <w:t>usucapio</w:t>
            </w:r>
            <w:r>
              <w:rPr>
                <w:rFonts w:ascii="EB Garamond" w:hAnsi="EB Garamond" w:cs="EB Garamond"/>
                <w:b w:val="0"/>
                <w:i w:val="0"/>
                <w:color w:val="26282E"/>
                <w:sz w:val="19"/>
              </w:rPr>
              <w:t xml:space="preserve"> mechanics; </w:t>
            </w:r>
            <w:r>
              <w:rPr>
                <w:rFonts w:ascii="EB Garamond" w:hAnsi="EB Garamond" w:cs="EB Garamond"/>
                <w:b/>
                <w:i w:val="0"/>
                <w:color w:val="26282E"/>
                <w:sz w:val="19"/>
              </w:rPr>
              <w:t>Rabbinic-law usucaption (Bava Bathra 3:1)</w:t>
            </w:r>
            <w:r>
              <w:rPr>
                <w:rFonts w:ascii="EB Garamond" w:hAnsi="EB Garamond" w:cs="EB Garamond"/>
                <w:b w:val="0"/>
                <w:i w:val="0"/>
                <w:color w:val="26282E"/>
                <w:sz w:val="19"/>
              </w:rPr>
              <w:t xml:space="preserve"> incl. Ottoman-era </w:t>
            </w:r>
            <w:r>
              <w:rPr>
                <w:rFonts w:ascii="EB Garamond" w:hAnsi="EB Garamond" w:cs="EB Garamond"/>
                <w:b w:val="0"/>
                <w:i/>
                <w:color w:val="26282E"/>
                <w:sz w:val="19"/>
              </w:rPr>
              <w:t>mülk/kharaj</w:t>
            </w:r>
            <w:r>
              <w:rPr>
                <w:rFonts w:ascii="EB Garamond" w:hAnsi="EB Garamond" w:cs="EB Garamond"/>
                <w:b w:val="0"/>
                <w:i w:val="0"/>
                <w:color w:val="26282E"/>
                <w:sz w:val="19"/>
              </w:rPr>
              <w:t xml:space="preserve"> custom</w:t>
            </w:r>
          </w:p>
        </w:tc>
        <w:tc>
          <w:tcPr>
            <w:tcW w:type="dxa" w:w="3120"/>
          </w:tcPr>
          <w:p>
            <w:r>
              <w:rPr>
                <w:rFonts w:ascii="EB Garamond" w:hAnsi="EB Garamond" w:cs="EB Garamond"/>
                <w:b/>
                <w:i w:val="0"/>
                <w:color w:val="26282E"/>
                <w:sz w:val="19"/>
              </w:rPr>
              <w:t>Accurate</w:t>
            </w:r>
            <w:r>
              <w:rPr>
                <w:rFonts w:ascii="EB Garamond" w:hAnsi="EB Garamond" w:cs="EB Garamond"/>
                <w:b w:val="0"/>
                <w:i w:val="0"/>
                <w:color w:val="26282E"/>
                <w:sz w:val="19"/>
              </w:rPr>
              <w:t xml:space="preserve"> as comparative-law material; again off-topic to NY</w:t>
            </w:r>
          </w:p>
        </w:tc>
      </w:tr>
    </w:tbl>
    <w:p>
      <w:pPr>
        <w:jc w:val="both"/>
      </w:pPr>
      <w:r>
        <w:rPr>
          <w:rFonts w:ascii="EB Garamond" w:hAnsi="EB Garamond" w:cs="EB Garamond"/>
          <w:b/>
          <w:i w:val="0"/>
          <w:color w:val="26282E"/>
          <w:sz w:val="21"/>
        </w:rPr>
        <w:t>Where it veers:</w:t>
      </w:r>
      <w:r>
        <w:rPr>
          <w:rFonts w:ascii="EB Garamond" w:hAnsi="EB Garamond" w:cs="EB Garamond"/>
          <w:b w:val="0"/>
          <w:i w:val="0"/>
          <w:color w:val="26282E"/>
          <w:sz w:val="21"/>
        </w:rPr>
        <w:t xml:space="preserve"> subtly. This doc contains no explicit pseudo-legal demand — its role is to normalize the vocabulary ("possession is nine-tenths of the law," l.359; government-land immunity; "squatter's rights") that the other documents in the workspace (e.g., </w:t>
      </w:r>
      <w:r>
        <w:rPr>
          <w:rFonts w:ascii="EB Garamond" w:hAnsi="EB Garamond" w:cs="EB Garamond"/>
          <w:b w:val="0"/>
          <w:i/>
          <w:color w:val="26282E"/>
          <w:sz w:val="21"/>
        </w:rPr>
        <w:t>NOTICE OF RESTORATION OF LENAPEHOKING</w:t>
      </w:r>
      <w:r>
        <w:rPr>
          <w:rFonts w:ascii="EB Garamond" w:hAnsi="EB Garamond" w:cs="EB Garamond"/>
          <w:b w:val="0"/>
          <w:i w:val="0"/>
          <w:color w:val="26282E"/>
          <w:sz w:val="21"/>
        </w:rPr>
        <w:t>) leverage for land-reclamation claims. The nearest thing to an asserted claim is the worked example that 15 years + 20 years = 35 years to title (l.161) — arithmetically fine, legally misleading in NY (see §3.2), and the fiat-money excursus's framing ("the United States is bankrupt"-adjacent themes live in the DISCLAIMER doc, not here).</w:t>
      </w:r>
    </w:p>
    <w:p>
      <w:pPr>
        <w:keepNext/>
      </w:pPr>
      <w:r>
        <w:rPr>
          <w:rFonts w:ascii="EB Garamond" w:hAnsi="EB Garamond" w:cs="EB Garamond"/>
          <w:b/>
          <w:i w:val="0"/>
          <w:color w:val="B54E1F"/>
          <w:sz w:val="23"/>
        </w:rPr>
        <w:t xml:space="preserve">1.2 </w:t>
      </w:r>
      <w:r>
        <w:rPr>
          <w:rFonts w:ascii="Montserrat" w:hAnsi="Montserrat" w:cs="Montserrat"/>
          <w:b w:val="0"/>
          <w:i w:val="0"/>
          <w:color w:val="3A4356"/>
          <w:sz w:val="18"/>
        </w:rPr>
        <w:t>DISCLAIMER - Seditious Conspiracy &amp; Treason via L3C formation.md</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Content</w:t>
            </w:r>
          </w:p>
        </w:tc>
        <w:tc>
          <w:tcPr>
            <w:tcW w:type="dxa" w:w="3120"/>
            <w:shd w:val="clear" w:fill="EFEBE0"/>
          </w:tcPr>
          <w:p>
            <w:r>
              <w:rPr>
                <w:rFonts w:ascii="Montserrat" w:hAnsi="Montserrat" w:cs="Montserrat"/>
                <w:b/>
                <w:i w:val="0"/>
                <w:color w:val="1B2A41"/>
                <w:sz w:val="19"/>
              </w:rPr>
              <w:t>Verdict</w:t>
            </w:r>
          </w:p>
        </w:tc>
      </w:tr>
      <w:tr>
        <w:tc>
          <w:tcPr>
            <w:tcW w:type="dxa" w:w="3120"/>
          </w:tcPr>
          <w:p>
            <w:r>
              <w:rPr>
                <w:rFonts w:ascii="EB Garamond" w:hAnsi="EB Garamond" w:cs="EB Garamond"/>
                <w:b w:val="0"/>
                <w:i w:val="0"/>
                <w:color w:val="26282E"/>
                <w:sz w:val="19"/>
              </w:rPr>
              <w:t>1–7</w:t>
            </w:r>
          </w:p>
        </w:tc>
        <w:tc>
          <w:tcPr>
            <w:tcW w:type="dxa" w:w="3120"/>
          </w:tcPr>
          <w:p>
            <w:r>
              <w:rPr>
                <w:rFonts w:ascii="EB Garamond" w:hAnsi="EB Garamond" w:cs="EB Garamond"/>
                <w:b w:val="0"/>
                <w:i w:val="0"/>
                <w:color w:val="26282E"/>
                <w:sz w:val="19"/>
              </w:rPr>
              <w:t>Title; headline framing of 18 U.S.C. § 2384 and Art. III § 3</w:t>
            </w:r>
          </w:p>
        </w:tc>
        <w:tc>
          <w:tcPr>
            <w:tcW w:type="dxa" w:w="3120"/>
          </w:tcPr>
          <w:p>
            <w:r>
              <w:rPr>
                <w:rFonts w:ascii="EB Garamond" w:hAnsi="EB Garamond" w:cs="EB Garamond"/>
                <w:b w:val="0"/>
                <w:i w:val="0"/>
                <w:color w:val="26282E"/>
                <w:sz w:val="19"/>
              </w:rPr>
              <w:t xml:space="preserve">Headline </w:t>
            </w:r>
            <w:r>
              <w:rPr>
                <w:rFonts w:ascii="EB Garamond" w:hAnsi="EB Garamond" w:cs="EB Garamond"/>
                <w:b/>
                <w:i w:val="0"/>
                <w:color w:val="26282E"/>
                <w:sz w:val="19"/>
              </w:rPr>
              <w:t>accurate on both statutes</w:t>
            </w:r>
            <w:r>
              <w:rPr>
                <w:rFonts w:ascii="EB Garamond" w:hAnsi="EB Garamond" w:cs="EB Garamond"/>
                <w:b w:val="0"/>
                <w:i w:val="0"/>
                <w:color w:val="26282E"/>
                <w:sz w:val="19"/>
              </w:rPr>
              <w:t xml:space="preserve"> (the one genuinely solid legal passage — see §4); framing is a warning-as-ambition: the doc advertises the crimes its own movement risks</w:t>
            </w:r>
          </w:p>
        </w:tc>
      </w:tr>
      <w:tr>
        <w:tc>
          <w:tcPr>
            <w:tcW w:type="dxa" w:w="3120"/>
          </w:tcPr>
          <w:p>
            <w:r>
              <w:rPr>
                <w:rFonts w:ascii="EB Garamond" w:hAnsi="EB Garamond" w:cs="EB Garamond"/>
                <w:b w:val="0"/>
                <w:i w:val="0"/>
                <w:color w:val="26282E"/>
                <w:sz w:val="19"/>
              </w:rPr>
              <w:t>9</w:t>
            </w:r>
          </w:p>
        </w:tc>
        <w:tc>
          <w:tcPr>
            <w:tcW w:type="dxa" w:w="3120"/>
          </w:tcPr>
          <w:p>
            <w:r>
              <w:rPr>
                <w:rFonts w:ascii="EB Garamond" w:hAnsi="EB Garamond" w:cs="EB Garamond"/>
                <w:b w:val="0"/>
                <w:i w:val="0"/>
                <w:color w:val="26282E"/>
                <w:sz w:val="19"/>
              </w:rPr>
              <w:t>"The U.S. Secretary of State is the 'Archivist' of legal titles of 'The People', i.e., the 'Beneficiaries' of the Estate Trust … domiciled in Washington, D.C."</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Classic sovereign-citizen mythology (FBI-listed indicators; §1.4). The actual Archivist of the United States heads NARA (44 U.S.C. § 2102); the Secretary of State has no custodial role over "titles of The People," and no "Estate Trust" exists in law</w:t>
            </w:r>
          </w:p>
        </w:tc>
      </w:tr>
      <w:tr>
        <w:tc>
          <w:tcPr>
            <w:tcW w:type="dxa" w:w="3120"/>
          </w:tcPr>
          <w:p>
            <w:r>
              <w:rPr>
                <w:rFonts w:ascii="EB Garamond" w:hAnsi="EB Garamond" w:cs="EB Garamond"/>
                <w:b w:val="0"/>
                <w:i w:val="0"/>
                <w:color w:val="26282E"/>
                <w:sz w:val="19"/>
              </w:rPr>
              <w:t>13</w:t>
            </w:r>
          </w:p>
        </w:tc>
        <w:tc>
          <w:tcPr>
            <w:tcW w:type="dxa" w:w="3120"/>
          </w:tcPr>
          <w:p>
            <w:r>
              <w:rPr>
                <w:rFonts w:ascii="EB Garamond" w:hAnsi="EB Garamond" w:cs="EB Garamond"/>
                <w:b w:val="0"/>
                <w:i w:val="0"/>
                <w:color w:val="26282E"/>
                <w:sz w:val="19"/>
              </w:rPr>
              <w:t xml:space="preserve">"I: Philomen-Anabelle: McFee© … am a </w:t>
            </w:r>
            <w:r>
              <w:rPr>
                <w:rFonts w:ascii="EB Garamond" w:hAnsi="EB Garamond" w:cs="EB Garamond"/>
                <w:b/>
                <w:i w:val="0"/>
                <w:color w:val="26282E"/>
                <w:sz w:val="19"/>
              </w:rPr>
              <w:t>Foreign Sovereign</w:t>
            </w:r>
            <w:r>
              <w:rPr>
                <w:rFonts w:ascii="EB Garamond" w:hAnsi="EB Garamond" w:cs="EB Garamond"/>
                <w:b w:val="0"/>
                <w:i w:val="0"/>
                <w:color w:val="26282E"/>
                <w:sz w:val="19"/>
              </w:rPr>
              <w:t xml:space="preserve"> operating within the Territorial United States … owed </w:t>
            </w:r>
            <w:r>
              <w:rPr>
                <w:rFonts w:ascii="EB Garamond" w:hAnsi="EB Garamond" w:cs="EB Garamond"/>
                <w:b/>
                <w:i w:val="0"/>
                <w:color w:val="26282E"/>
                <w:sz w:val="19"/>
              </w:rPr>
              <w:t>The Law of Peace, pursuant to Department of the Army Pamphlet 27-161-1</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This is the sovCit "Mandatory Notice" template, nearly verbatim (§1.4). DA Pam 27-161-1 is a real DoD treatise — </w:t>
            </w:r>
            <w:r>
              <w:rPr>
                <w:rFonts w:ascii="EB Garamond" w:hAnsi="EB Garamond" w:cs="EB Garamond"/>
                <w:b w:val="0"/>
                <w:i/>
                <w:color w:val="26282E"/>
                <w:sz w:val="19"/>
              </w:rPr>
              <w:t>International Law, Vol. I: The Law of Peace</w:t>
            </w:r>
            <w:r>
              <w:rPr>
                <w:rFonts w:ascii="EB Garamond" w:hAnsi="EB Garamond" w:cs="EB Garamond"/>
                <w:b w:val="0"/>
                <w:i w:val="0"/>
                <w:color w:val="26282E"/>
                <w:sz w:val="19"/>
              </w:rPr>
              <w:t xml:space="preserve"> (1979) — governing the </w:t>
            </w:r>
            <w:r>
              <w:rPr>
                <w:rFonts w:ascii="EB Garamond" w:hAnsi="EB Garamond" w:cs="EB Garamond"/>
                <w:b/>
                <w:i w:val="0"/>
                <w:color w:val="26282E"/>
                <w:sz w:val="19"/>
              </w:rPr>
              <w:t>U.S. military's conduct in foreign affairs/occupied territory</w:t>
            </w:r>
            <w:r>
              <w:rPr>
                <w:rFonts w:ascii="EB Garamond" w:hAnsi="EB Garamond" w:cs="EB Garamond"/>
                <w:b w:val="0"/>
                <w:i w:val="0"/>
                <w:color w:val="26282E"/>
                <w:sz w:val="19"/>
              </w:rPr>
              <w:t>. It confers no personal immunities on civilians and has never been so held in any court</w:t>
            </w:r>
          </w:p>
        </w:tc>
      </w:tr>
      <w:tr>
        <w:tc>
          <w:tcPr>
            <w:tcW w:type="dxa" w:w="3120"/>
          </w:tcPr>
          <w:p>
            <w:r>
              <w:rPr>
                <w:rFonts w:ascii="EB Garamond" w:hAnsi="EB Garamond" w:cs="EB Garamond"/>
                <w:b w:val="0"/>
                <w:i w:val="0"/>
                <w:color w:val="26282E"/>
                <w:sz w:val="19"/>
              </w:rPr>
              <w:t>15</w:t>
            </w:r>
          </w:p>
        </w:tc>
        <w:tc>
          <w:tcPr>
            <w:tcW w:type="dxa" w:w="3120"/>
          </w:tcPr>
          <w:p>
            <w:r>
              <w:rPr>
                <w:rFonts w:ascii="EB Garamond" w:hAnsi="EB Garamond" w:cs="EB Garamond"/>
                <w:b w:val="0"/>
                <w:i w:val="0"/>
                <w:color w:val="26282E"/>
                <w:sz w:val="19"/>
              </w:rPr>
              <w:t>Demand for refund of "malappropriated SALT taxes"; commercial liability under 18 U.S.C. §§ 2333, 1341, 1342</w:t>
            </w:r>
          </w:p>
        </w:tc>
        <w:tc>
          <w:tcPr>
            <w:tcW w:type="dxa" w:w="3120"/>
          </w:tcPr>
          <w:p>
            <w:r>
              <w:rPr>
                <w:rFonts w:ascii="EB Garamond" w:hAnsi="EB Garamond" w:cs="EB Garamond"/>
                <w:b w:val="0"/>
                <w:i w:val="0"/>
                <w:color w:val="26282E"/>
                <w:sz w:val="19"/>
              </w:rPr>
              <w:t xml:space="preserve">§ 2333 is the </w:t>
            </w:r>
            <w:r>
              <w:rPr>
                <w:rFonts w:ascii="EB Garamond" w:hAnsi="EB Garamond" w:cs="EB Garamond"/>
                <w:b/>
                <w:i w:val="0"/>
                <w:color w:val="26282E"/>
                <w:sz w:val="19"/>
              </w:rPr>
              <w:t>civil remedy for victims of international terrorism</w:t>
            </w:r>
            <w:r>
              <w:rPr>
                <w:rFonts w:ascii="EB Garamond" w:hAnsi="EB Garamond" w:cs="EB Garamond"/>
                <w:b w:val="0"/>
                <w:i w:val="0"/>
                <w:color w:val="26282E"/>
                <w:sz w:val="19"/>
              </w:rPr>
              <w:t>; § 1341/1342 concern postal fraud/obstruction — none creates a tax-refund cause of action. SovCit boilerplate (same trio appears in the von Reitz "mandatory notice" templates circulating online)</w:t>
            </w:r>
          </w:p>
        </w:tc>
      </w:tr>
      <w:tr>
        <w:tc>
          <w:tcPr>
            <w:tcW w:type="dxa" w:w="3120"/>
          </w:tcPr>
          <w:p>
            <w:r>
              <w:rPr>
                <w:rFonts w:ascii="EB Garamond" w:hAnsi="EB Garamond" w:cs="EB Garamond"/>
                <w:b w:val="0"/>
                <w:i w:val="0"/>
                <w:color w:val="26282E"/>
                <w:sz w:val="19"/>
              </w:rPr>
              <w:t>17, 109, 113–117</w:t>
            </w:r>
          </w:p>
        </w:tc>
        <w:tc>
          <w:tcPr>
            <w:tcW w:type="dxa" w:w="3120"/>
          </w:tcPr>
          <w:p>
            <w:r>
              <w:rPr>
                <w:rFonts w:ascii="EB Garamond" w:hAnsi="EB Garamond" w:cs="EB Garamond"/>
                <w:b w:val="0"/>
                <w:i w:val="0"/>
                <w:color w:val="26282E"/>
                <w:sz w:val="19"/>
              </w:rPr>
              <w:t>"Political status … procedurally corrected"; notices deposited with USPS "in its capacity as universal receiver"; "in rem admiralty proceedings … out of New York Harbor's Port Authority"; "UN regional member state courts"; 28 U.S.C. § 1442(d)(3)</w:t>
            </w:r>
          </w:p>
        </w:tc>
        <w:tc>
          <w:tcPr>
            <w:tcW w:type="dxa" w:w="3120"/>
          </w:tcPr>
          <w:p>
            <w:r>
              <w:rPr>
                <w:rFonts w:ascii="EB Garamond" w:hAnsi="EB Garamond" w:cs="EB Garamond"/>
                <w:b/>
                <w:i w:val="0"/>
                <w:color w:val="26282E"/>
                <w:sz w:val="19"/>
              </w:rPr>
              <w:t>Pseudo-law.</w:t>
            </w:r>
            <w:r>
              <w:rPr>
                <w:rFonts w:ascii="EB Garamond" w:hAnsi="EB Garamond" w:cs="EB Garamond"/>
                <w:b w:val="0"/>
                <w:i w:val="0"/>
                <w:color w:val="26282E"/>
                <w:sz w:val="19"/>
              </w:rPr>
              <w:t xml:space="preserve"> The admiralty/UN-court theory is a sovereign-citizen staple. § 1442 is the federal-officer </w:t>
            </w:r>
            <w:r>
              <w:rPr>
                <w:rFonts w:ascii="EB Garamond" w:hAnsi="EB Garamond" w:cs="EB Garamond"/>
                <w:b/>
                <w:i w:val="0"/>
                <w:color w:val="26282E"/>
                <w:sz w:val="19"/>
              </w:rPr>
              <w:t>removal</w:t>
            </w:r>
            <w:r>
              <w:rPr>
                <w:rFonts w:ascii="EB Garamond" w:hAnsi="EB Garamond" w:cs="EB Garamond"/>
                <w:b w:val="0"/>
                <w:i w:val="0"/>
                <w:color w:val="26282E"/>
                <w:sz w:val="19"/>
              </w:rPr>
              <w:t xml:space="preserve"> statute; subsection (d)(3) merely defines "law enforcement officer" for removal purposes and confers no substantive rights or immunities</w:t>
            </w:r>
          </w:p>
        </w:tc>
      </w:tr>
      <w:tr>
        <w:tc>
          <w:tcPr>
            <w:tcW w:type="dxa" w:w="3120"/>
          </w:tcPr>
          <w:p>
            <w:r>
              <w:rPr>
                <w:rFonts w:ascii="EB Garamond" w:hAnsi="EB Garamond" w:cs="EB Garamond"/>
                <w:b w:val="0"/>
                <w:i w:val="0"/>
                <w:color w:val="26282E"/>
                <w:sz w:val="19"/>
              </w:rPr>
              <w:t>19–107</w:t>
            </w:r>
          </w:p>
        </w:tc>
        <w:tc>
          <w:tcPr>
            <w:tcW w:type="dxa" w:w="3120"/>
          </w:tcPr>
          <w:p>
            <w:r>
              <w:rPr>
                <w:rFonts w:ascii="EB Garamond" w:hAnsi="EB Garamond" w:cs="EB Garamond"/>
                <w:b w:val="0"/>
                <w:i w:val="0"/>
                <w:color w:val="26282E"/>
                <w:sz w:val="19"/>
              </w:rPr>
              <w:t xml:space="preserve">NY public-benefit corporations / public authorities: NY Const. art. X § 5, </w:t>
            </w:r>
            <w:r>
              <w:rPr>
                <w:rFonts w:ascii="EB Garamond" w:hAnsi="EB Garamond" w:cs="EB Garamond"/>
                <w:b w:val="0"/>
                <w:i/>
                <w:color w:val="26282E"/>
                <w:sz w:val="19"/>
              </w:rPr>
              <w:t>City of Rye v. MTA</w:t>
            </w:r>
            <w:r>
              <w:rPr>
                <w:rFonts w:ascii="EB Garamond" w:hAnsi="EB Garamond" w:cs="EB Garamond"/>
                <w:b w:val="0"/>
                <w:i w:val="0"/>
                <w:color w:val="26282E"/>
                <w:sz w:val="19"/>
              </w:rPr>
              <w:t xml:space="preserve">, </w:t>
            </w:r>
            <w:r>
              <w:rPr>
                <w:rFonts w:ascii="EB Garamond" w:hAnsi="EB Garamond" w:cs="EB Garamond"/>
                <w:b w:val="0"/>
                <w:i/>
                <w:color w:val="26282E"/>
                <w:sz w:val="19"/>
              </w:rPr>
              <w:t>Schulz v. State</w:t>
            </w:r>
            <w:r>
              <w:rPr>
                <w:rFonts w:ascii="EB Garamond" w:hAnsi="EB Garamond" w:cs="EB Garamond"/>
                <w:b w:val="0"/>
                <w:i w:val="0"/>
                <w:color w:val="26282E"/>
                <w:sz w:val="19"/>
              </w:rPr>
              <w:t xml:space="preserve">, PACB, Robert Moses, ABO 2018 stats (47 state / 531 local authorities), eminent domain (Grotius, </w:t>
            </w:r>
            <w:r>
              <w:rPr>
                <w:rFonts w:ascii="EB Garamond" w:hAnsi="EB Garamond" w:cs="EB Garamond"/>
                <w:b w:val="0"/>
                <w:i/>
                <w:color w:val="26282E"/>
                <w:sz w:val="19"/>
              </w:rPr>
              <w:t>Berman</w:t>
            </w:r>
            <w:r>
              <w:rPr>
                <w:rFonts w:ascii="EB Garamond" w:hAnsi="EB Garamond" w:cs="EB Garamond"/>
                <w:b w:val="0"/>
                <w:i w:val="0"/>
                <w:color w:val="26282E"/>
                <w:sz w:val="19"/>
              </w:rPr>
              <w:t xml:space="preserve">, </w:t>
            </w:r>
            <w:r>
              <w:rPr>
                <w:rFonts w:ascii="EB Garamond" w:hAnsi="EB Garamond" w:cs="EB Garamond"/>
                <w:b w:val="0"/>
                <w:i/>
                <w:color w:val="26282E"/>
                <w:sz w:val="19"/>
              </w:rPr>
              <w:t>Midkiff</w:t>
            </w:r>
            <w:r>
              <w:rPr>
                <w:rFonts w:ascii="EB Garamond" w:hAnsi="EB Garamond" w:cs="EB Garamond"/>
                <w:b w:val="0"/>
                <w:i w:val="0"/>
                <w:color w:val="26282E"/>
                <w:sz w:val="19"/>
              </w:rPr>
              <w:t xml:space="preserve">, </w:t>
            </w:r>
            <w:r>
              <w:rPr>
                <w:rFonts w:ascii="EB Garamond" w:hAnsi="EB Garamond" w:cs="EB Garamond"/>
                <w:b w:val="0"/>
                <w:i/>
                <w:color w:val="26282E"/>
                <w:sz w:val="19"/>
              </w:rPr>
              <w:t>Kelo</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reference material (the best-researched section) — deployed here to build the "I have no contractual obligations to any NY public-benefit corporation" claim (l.21), which is legally meaningless: statutes bind regardless of personal consent</w:t>
            </w:r>
          </w:p>
        </w:tc>
      </w:tr>
      <w:tr>
        <w:tc>
          <w:tcPr>
            <w:tcW w:type="dxa" w:w="3120"/>
          </w:tcPr>
          <w:p>
            <w:r>
              <w:rPr>
                <w:rFonts w:ascii="EB Garamond" w:hAnsi="EB Garamond" w:cs="EB Garamond"/>
                <w:b w:val="0"/>
                <w:i w:val="0"/>
                <w:color w:val="26282E"/>
                <w:sz w:val="19"/>
              </w:rPr>
              <w:t>49</w:t>
            </w:r>
          </w:p>
        </w:tc>
        <w:tc>
          <w:tcPr>
            <w:tcW w:type="dxa" w:w="3120"/>
          </w:tcPr>
          <w:p>
            <w:r>
              <w:rPr>
                <w:rFonts w:ascii="EB Garamond" w:hAnsi="EB Garamond" w:cs="EB Garamond"/>
                <w:b w:val="0"/>
                <w:i w:val="0"/>
                <w:color w:val="26282E"/>
                <w:sz w:val="19"/>
              </w:rPr>
              <w:t xml:space="preserve">"…sue the United States … which will never provide remedy because </w:t>
            </w:r>
            <w:r>
              <w:rPr>
                <w:rFonts w:ascii="EB Garamond" w:hAnsi="EB Garamond" w:cs="EB Garamond"/>
                <w:b/>
                <w:i w:val="0"/>
                <w:color w:val="26282E"/>
                <w:sz w:val="19"/>
              </w:rPr>
              <w:t>the United States is bankrupt</w:t>
            </w:r>
            <w:r>
              <w:rPr>
                <w:rFonts w:ascii="EB Garamond" w:hAnsi="EB Garamond" w:cs="EB Garamond"/>
                <w:b w:val="0"/>
                <w:i w:val="0"/>
                <w:color w:val="26282E"/>
                <w:sz w:val="19"/>
              </w:rPr>
              <w:t>"</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gold-standard sovCit shibboleth; the U.S. pays Court of Federal Claims just-compensation judgments routinely (Tucker Act, 28 U.S.C. § 1491)</w:t>
            </w:r>
          </w:p>
        </w:tc>
      </w:tr>
      <w:tr>
        <w:tc>
          <w:tcPr>
            <w:tcW w:type="dxa" w:w="3120"/>
          </w:tcPr>
          <w:p>
            <w:r>
              <w:rPr>
                <w:rFonts w:ascii="EB Garamond" w:hAnsi="EB Garamond" w:cs="EB Garamond"/>
                <w:b w:val="0"/>
                <w:i w:val="0"/>
                <w:color w:val="26282E"/>
                <w:sz w:val="19"/>
              </w:rPr>
              <w:t>51</w:t>
            </w:r>
          </w:p>
        </w:tc>
        <w:tc>
          <w:tcPr>
            <w:tcW w:type="dxa" w:w="3120"/>
          </w:tcPr>
          <w:p>
            <w:r>
              <w:rPr>
                <w:rFonts w:ascii="EB Garamond" w:hAnsi="EB Garamond" w:cs="EB Garamond"/>
                <w:b w:val="0"/>
                <w:i w:val="0"/>
                <w:color w:val="26282E"/>
                <w:sz w:val="19"/>
              </w:rPr>
              <w:t>"In the United States, a 'person' is defined as a 'foreign state' … an 'individual' is defined as an artificial 'federally chartered entity'"</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inversion of the ordinary meanings; in federal statutes "person" </w:t>
            </w:r>
            <w:r>
              <w:rPr>
                <w:rFonts w:ascii="EB Garamond" w:hAnsi="EB Garamond" w:cs="EB Garamond"/>
                <w:b w:val="0"/>
                <w:i/>
                <w:color w:val="26282E"/>
                <w:sz w:val="19"/>
              </w:rPr>
              <w:t>includes</w:t>
            </w:r>
            <w:r>
              <w:rPr>
                <w:rFonts w:ascii="EB Garamond" w:hAnsi="EB Garamond" w:cs="EB Garamond"/>
                <w:b w:val="0"/>
                <w:i w:val="0"/>
                <w:color w:val="26282E"/>
                <w:sz w:val="19"/>
              </w:rPr>
              <w:t xml:space="preserve"> individuals (e.g., 1 U.S.C. § 1), and this specific definition pair appears in no statute</w:t>
            </w:r>
          </w:p>
        </w:tc>
      </w:tr>
      <w:tr>
        <w:tc>
          <w:tcPr>
            <w:tcW w:type="dxa" w:w="3120"/>
          </w:tcPr>
          <w:p>
            <w:r>
              <w:rPr>
                <w:rFonts w:ascii="EB Garamond" w:hAnsi="EB Garamond" w:cs="EB Garamond"/>
                <w:b w:val="0"/>
                <w:i w:val="0"/>
                <w:color w:val="26282E"/>
                <w:sz w:val="19"/>
              </w:rPr>
              <w:t>59–61</w:t>
            </w:r>
          </w:p>
        </w:tc>
        <w:tc>
          <w:tcPr>
            <w:tcW w:type="dxa" w:w="3120"/>
          </w:tcPr>
          <w:p>
            <w:r>
              <w:rPr>
                <w:rFonts w:ascii="EB Garamond" w:hAnsi="EB Garamond" w:cs="EB Garamond"/>
                <w:b w:val="0"/>
                <w:i w:val="0"/>
                <w:color w:val="26282E"/>
                <w:sz w:val="19"/>
              </w:rPr>
              <w:t>IRS and national banks "do not have regulatory authority to file liens in the several U.S. States"; IRS non-compliance = "counterfeiting securities"; state law governs prosecution</w:t>
            </w:r>
          </w:p>
        </w:tc>
        <w:tc>
          <w:tcPr>
            <w:tcW w:type="dxa" w:w="3120"/>
          </w:tcPr>
          <w:p>
            <w:r>
              <w:rPr>
                <w:rFonts w:ascii="EB Garamond" w:hAnsi="EB Garamond" w:cs="EB Garamond"/>
                <w:b/>
                <w:i w:val="0"/>
                <w:color w:val="26282E"/>
                <w:sz w:val="19"/>
              </w:rPr>
              <w:t>False</w:t>
            </w:r>
            <w:r>
              <w:rPr>
                <w:rFonts w:ascii="EB Garamond" w:hAnsi="EB Garamond" w:cs="EB Garamond"/>
                <w:b w:val="0"/>
                <w:i w:val="0"/>
                <w:color w:val="26282E"/>
                <w:sz w:val="19"/>
              </w:rPr>
              <w:t xml:space="preserve"> — tax-protester boilerplate; 26 U.S.C. §§ 6321, 6323 create federal tax liens that are properly filed state-side and enforceable</w:t>
            </w:r>
          </w:p>
        </w:tc>
      </w:tr>
      <w:tr>
        <w:tc>
          <w:tcPr>
            <w:tcW w:type="dxa" w:w="3120"/>
          </w:tcPr>
          <w:p>
            <w:r>
              <w:rPr>
                <w:rFonts w:ascii="EB Garamond" w:hAnsi="EB Garamond" w:cs="EB Garamond"/>
                <w:b w:val="0"/>
                <w:i w:val="0"/>
                <w:color w:val="26282E"/>
                <w:sz w:val="19"/>
              </w:rPr>
              <w:t>107–151</w:t>
            </w:r>
          </w:p>
        </w:tc>
        <w:tc>
          <w:tcPr>
            <w:tcW w:type="dxa" w:w="3120"/>
          </w:tcPr>
          <w:p>
            <w:r>
              <w:rPr>
                <w:rFonts w:ascii="EB Garamond" w:hAnsi="EB Garamond" w:cs="EB Garamond"/>
                <w:b w:val="0"/>
                <w:i w:val="0"/>
                <w:color w:val="26282E"/>
                <w:sz w:val="19"/>
              </w:rPr>
              <w:t xml:space="preserve">"INNER-standing the … dual justice system"; </w:t>
            </w:r>
            <w:r>
              <w:rPr>
                <w:rFonts w:ascii="EB Garamond" w:hAnsi="EB Garamond" w:cs="EB Garamond"/>
                <w:b w:val="0"/>
                <w:i/>
                <w:color w:val="26282E"/>
                <w:sz w:val="19"/>
              </w:rPr>
              <w:t>Yates v. Village of Hoffman Estates</w:t>
            </w:r>
            <w:r>
              <w:rPr>
                <w:rFonts w:ascii="EB Garamond" w:hAnsi="EB Garamond" w:cs="EB Garamond"/>
                <w:b w:val="0"/>
                <w:i w:val="0"/>
                <w:color w:val="26282E"/>
                <w:sz w:val="19"/>
              </w:rPr>
              <w:t xml:space="preserve"> as "judge loses jurisdiction" authority; Fed. Res. Act § 16 / 12 U.S.C. § 411 "elastic currency"; "waiver of immunity" string-cite (</w:t>
            </w:r>
            <w:r>
              <w:rPr>
                <w:rFonts w:ascii="EB Garamond" w:hAnsi="EB Garamond" w:cs="EB Garamond"/>
                <w:b w:val="0"/>
                <w:i/>
                <w:color w:val="26282E"/>
                <w:sz w:val="19"/>
              </w:rPr>
              <w:t>Luckenbach v. The Thekla</w:t>
            </w:r>
            <w:r>
              <w:rPr>
                <w:rFonts w:ascii="EB Garamond" w:hAnsi="EB Garamond" w:cs="EB Garamond"/>
                <w:b w:val="0"/>
                <w:i w:val="0"/>
                <w:color w:val="26282E"/>
                <w:sz w:val="19"/>
              </w:rPr>
              <w:t xml:space="preserve"> etc.); "Tax-Exempt No. C40468385"; "repatriated W-2 WARRANT OFFICER, deported U.S. Citizen"; ©-name punctuation</w:t>
            </w:r>
          </w:p>
        </w:tc>
        <w:tc>
          <w:tcPr>
            <w:tcW w:type="dxa" w:w="3120"/>
          </w:tcPr>
          <w:p>
            <w:r>
              <w:rPr>
                <w:rFonts w:ascii="EB Garamond" w:hAnsi="EB Garamond" w:cs="EB Garamond"/>
                <w:b/>
                <w:i w:val="0"/>
                <w:color w:val="26282E"/>
                <w:sz w:val="19"/>
              </w:rPr>
              <w:t>Pseudo-law throughout.</w:t>
            </w:r>
            <w:r>
              <w:rPr>
                <w:rFonts w:ascii="EB Garamond" w:hAnsi="EB Garamond" w:cs="EB Garamond"/>
                <w:b w:val="0"/>
                <w:i w:val="0"/>
                <w:color w:val="26282E"/>
                <w:sz w:val="19"/>
              </w:rPr>
              <w:t xml:space="preserve"> </w:t>
            </w:r>
            <w:r>
              <w:rPr>
                <w:rFonts w:ascii="EB Garamond" w:hAnsi="EB Garamond" w:cs="EB Garamond"/>
                <w:b w:val="0"/>
                <w:i/>
                <w:color w:val="26282E"/>
                <w:sz w:val="19"/>
              </w:rPr>
              <w:t>Yates</w:t>
            </w:r>
            <w:r>
              <w:rPr>
                <w:rFonts w:ascii="EB Garamond" w:hAnsi="EB Garamond" w:cs="EB Garamond"/>
                <w:b w:val="0"/>
                <w:i w:val="0"/>
                <w:color w:val="26282E"/>
                <w:sz w:val="19"/>
              </w:rPr>
              <w:t xml:space="preserve"> held only that judicial immunity doesn't cover intentional torts outside judicial function — it does </w:t>
            </w:r>
            <w:r>
              <w:rPr>
                <w:rFonts w:ascii="EB Garamond" w:hAnsi="EB Garamond" w:cs="EB Garamond"/>
                <w:b/>
                <w:i w:val="0"/>
                <w:color w:val="26282E"/>
                <w:sz w:val="19"/>
              </w:rPr>
              <w:t>not</w:t>
            </w:r>
            <w:r>
              <w:rPr>
                <w:rFonts w:ascii="EB Garamond" w:hAnsi="EB Garamond" w:cs="EB Garamond"/>
                <w:b w:val="0"/>
                <w:i w:val="0"/>
                <w:color w:val="26282E"/>
                <w:sz w:val="19"/>
              </w:rPr>
              <w:t xml:space="preserve"> void orders for alleged legal error. The immunity string-cites are classic non-authority padding. The "tax-exempt organization" tradename for a natural person, the© stylized name, and the "W-2 warrant officer" persona are sovCit indicators (FBI: misuse of copyright-of-name, fictitious financial instruments)</w:t>
            </w:r>
          </w:p>
        </w:tc>
      </w:tr>
      <w:tr>
        <w:tc>
          <w:tcPr>
            <w:tcW w:type="dxa" w:w="3120"/>
          </w:tcPr>
          <w:p>
            <w:r>
              <w:rPr>
                <w:rFonts w:ascii="EB Garamond" w:hAnsi="EB Garamond" w:cs="EB Garamond"/>
                <w:b w:val="0"/>
                <w:i w:val="0"/>
                <w:color w:val="26282E"/>
                <w:sz w:val="19"/>
              </w:rPr>
              <w:t>149–287</w:t>
            </w:r>
          </w:p>
        </w:tc>
        <w:tc>
          <w:tcPr>
            <w:tcW w:type="dxa" w:w="3120"/>
          </w:tcPr>
          <w:p>
            <w:r>
              <w:rPr>
                <w:rFonts w:ascii="EB Garamond" w:hAnsi="EB Garamond" w:cs="EB Garamond"/>
                <w:b/>
                <w:i w:val="0"/>
                <w:color w:val="26282E"/>
                <w:sz w:val="19"/>
              </w:rPr>
              <w:t>HYBRID L3C explainer</w:t>
            </w:r>
            <w:r>
              <w:rPr>
                <w:rFonts w:ascii="EB Garamond" w:hAnsi="EB Garamond" w:cs="EB Garamond"/>
                <w:b w:val="0"/>
                <w:i w:val="0"/>
                <w:color w:val="26282E"/>
                <w:sz w:val="19"/>
              </w:rPr>
              <w:t>: definition, Robert Lang origin, PRI mechanics (Treas. Reg. § 53.4944-3(a)), formation, member-managed vs manager-managed, taxation, Vermont 2008 first statute, state list, NC repeal 2014, SEEDR L3C example, pros/cons tables</w:t>
            </w:r>
          </w:p>
        </w:tc>
        <w:tc>
          <w:tcPr>
            <w:tcW w:type="dxa" w:w="3120"/>
          </w:tcPr>
          <w:p>
            <w:r>
              <w:rPr>
                <w:rFonts w:ascii="EB Garamond" w:hAnsi="EB Garamond" w:cs="EB Garamond"/>
                <w:b/>
                <w:i w:val="0"/>
                <w:color w:val="26282E"/>
                <w:sz w:val="19"/>
              </w:rPr>
              <w:t>Substantially accurate</w:t>
            </w:r>
            <w:r>
              <w:rPr>
                <w:rFonts w:ascii="EB Garamond" w:hAnsi="EB Garamond" w:cs="EB Garamond"/>
                <w:b w:val="0"/>
                <w:i w:val="0"/>
                <w:color w:val="26282E"/>
                <w:sz w:val="19"/>
              </w:rPr>
              <w:t xml:space="preserve"> (a faithful Wikidata/Wikipedia-grade summary) — with two errors: the claim that Vermont's statute "allowed the L3C legal form to operate in </w:t>
            </w:r>
            <w:r>
              <w:rPr>
                <w:rFonts w:ascii="EB Garamond" w:hAnsi="EB Garamond" w:cs="EB Garamond"/>
                <w:b/>
                <w:i w:val="0"/>
                <w:color w:val="26282E"/>
                <w:sz w:val="19"/>
              </w:rPr>
              <w:t>every</w:t>
            </w:r>
            <w:r>
              <w:rPr>
                <w:rFonts w:ascii="EB Garamond" w:hAnsi="EB Garamond" w:cs="EB Garamond"/>
                <w:b w:val="0"/>
                <w:i w:val="0"/>
                <w:color w:val="26282E"/>
                <w:sz w:val="19"/>
              </w:rPr>
              <w:t xml:space="preserve"> U.S. state" (false; see §3.6) and "HYBRID L3C Defined: The </w:t>
            </w:r>
            <w:r>
              <w:rPr>
                <w:rFonts w:ascii="EB Garamond" w:hAnsi="EB Garamond" w:cs="EB Garamond"/>
                <w:b/>
                <w:i w:val="0"/>
                <w:color w:val="26282E"/>
                <w:sz w:val="19"/>
              </w:rPr>
              <w:t>default United States corporate structure</w:t>
            </w:r>
            <w:r>
              <w:rPr>
                <w:rFonts w:ascii="EB Garamond" w:hAnsi="EB Garamond" w:cs="EB Garamond"/>
                <w:b w:val="0"/>
                <w:i w:val="0"/>
                <w:color w:val="26282E"/>
                <w:sz w:val="19"/>
              </w:rPr>
              <w:t>" (l.151 — false; the default business structure is the ordinary LLC; only ~1,700 L3Cs existed nationwide by 2020, by the doc's own figures)</w:t>
            </w:r>
          </w:p>
        </w:tc>
      </w:tr>
    </w:tbl>
    <w:p>
      <w:pPr>
        <w:keepNext/>
      </w:pPr>
      <w:r>
        <w:rPr>
          <w:rFonts w:ascii="EB Garamond" w:hAnsi="EB Garamond" w:cs="EB Garamond"/>
          <w:b/>
          <w:i w:val="0"/>
          <w:color w:val="B54E1F"/>
          <w:sz w:val="23"/>
        </w:rPr>
        <w:t>1.3 The VERSION 1 variant (</w:t>
      </w:r>
      <w:r>
        <w:rPr>
          <w:rFonts w:ascii="Montserrat" w:hAnsi="Montserrat" w:cs="Montserrat"/>
          <w:b w:val="0"/>
          <w:i w:val="0"/>
          <w:color w:val="3A4356"/>
          <w:sz w:val="18"/>
        </w:rPr>
        <w:t>...VERSION 1.md</w:t>
      </w:r>
      <w:r>
        <w:rPr>
          <w:rFonts w:ascii="EB Garamond" w:hAnsi="EB Garamond" w:cs="EB Garamond"/>
          <w:b/>
          <w:i w:val="0"/>
          <w:color w:val="B54E1F"/>
          <w:sz w:val="23"/>
        </w:rPr>
        <w:t>, 50 KB)</w:t>
      </w:r>
    </w:p>
    <w:p>
      <w:pPr>
        <w:jc w:val="both"/>
      </w:pPr>
      <w:r>
        <w:rPr>
          <w:rFonts w:ascii="EB Garamond" w:hAnsi="EB Garamond" w:cs="EB Garamond"/>
          <w:b w:val="0"/>
          <w:i w:val="0"/>
          <w:color w:val="26282E"/>
          <w:sz w:val="21"/>
        </w:rPr>
        <w:t xml:space="preserve">Same skeleton; header is plain "DISCLAIMER" (not "ADMINISTRATIVE"); the declarant is "I: Claudia-Teresa: Valencia© for VALENCIA, CLAUDIA TERESA" instead of McFee; it addresses NYC's Corporation Counsel (Steven Banks) with a page of accurate NYC Law Department description; and it </w:t>
      </w:r>
      <w:r>
        <w:rPr>
          <w:rFonts w:ascii="EB Garamond" w:hAnsi="EB Garamond" w:cs="EB Garamond"/>
          <w:b/>
          <w:i w:val="0"/>
          <w:color w:val="26282E"/>
          <w:sz w:val="21"/>
        </w:rPr>
        <w:t>lacks</w:t>
      </w:r>
      <w:r>
        <w:rPr>
          <w:rFonts w:ascii="EB Garamond" w:hAnsi="EB Garamond" w:cs="EB Garamond"/>
          <w:b w:val="0"/>
          <w:i w:val="0"/>
          <w:color w:val="26282E"/>
          <w:sz w:val="21"/>
        </w:rPr>
        <w:t xml:space="preserve"> the McFee variant's NY public-authority block and L3C explainer, but contains the same Foreign Sovereign / Law of Peace / 18 U.S.C. 2333/1341/1342 template, the same Yates/ Luckenbach pseudo-authorities, and the same "Restoration, Reclamation and Restitution" demands. I.e., it is an earlier, shorter cut of the same form letter — evidence the template circulates with plug-in names.</w:t>
      </w:r>
    </w:p>
    <w:p>
      <w:pPr>
        <w:keepNext/>
      </w:pPr>
      <w:r>
        <w:rPr>
          <w:rFonts w:ascii="EB Garamond" w:hAnsi="EB Garamond" w:cs="EB Garamond"/>
          <w:b/>
          <w:i w:val="0"/>
          <w:color w:val="B54E1F"/>
          <w:sz w:val="23"/>
        </w:rPr>
        <w:t>1.4 SovCit indicator cross-reference (FBI / court findings)</w:t>
      </w:r>
    </w:p>
    <w:p>
      <w:pPr>
        <w:jc w:val="both"/>
      </w:pPr>
      <w:r>
        <w:rPr>
          <w:rFonts w:ascii="EB Garamond" w:hAnsi="EB Garamond" w:cs="EB Garamond"/>
          <w:b w:val="0"/>
          <w:i w:val="0"/>
          <w:color w:val="26282E"/>
          <w:sz w:val="21"/>
        </w:rPr>
        <w:t>The "Foreign Sovereign" + "Estate Trust beneficiaries" + "Archivist of titles" + "Law of Peace / DA Pam 27-161-1" cluster is documented sovereign-citizen boilerplate: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FBI Law Enforcement Bulletin, *"Sovereign Citizens: A Growing Domestic Threat to Law</w:t>
      </w:r>
    </w:p>
    <w:p>
      <w:pPr>
        <w:jc w:val="both"/>
      </w:pPr>
      <w:r>
        <w:rPr>
          <w:rFonts w:ascii="EB Garamond" w:hAnsi="EB Garamond" w:cs="EB Garamond"/>
          <w:b w:val="0"/>
          <w:i w:val="0"/>
          <w:color w:val="26282E"/>
          <w:sz w:val="21"/>
        </w:rPr>
        <w:t>Enforcement"* (Sept. 2011) — lists "paper terrorism" (fraudulent liens, bogus financial instruments), copyrighting one's name, and fictitious "foreign sovereign" status claims among movement indicators.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Courts apply these labels to near-identical texts. In </w:t>
      </w:r>
      <w:r>
        <w:rPr>
          <w:rFonts w:ascii="EB Garamond" w:hAnsi="EB Garamond" w:cs="EB Garamond"/>
          <w:b w:val="0"/>
          <w:i/>
          <w:color w:val="26282E"/>
          <w:sz w:val="21"/>
        </w:rPr>
        <w:t>Wildervoorn-Doomes</w:t>
      </w:r>
      <w:r>
        <w:rPr>
          <w:rFonts w:ascii="EB Garamond" w:hAnsi="EB Garamond" w:cs="EB Garamond"/>
          <w:b w:val="0"/>
          <w:i w:val="0"/>
          <w:color w:val="26282E"/>
          <w:sz w:val="21"/>
        </w:rPr>
        <w:t>-type dismissals, e.g.</w:t>
      </w:r>
    </w:p>
    <w:p>
      <w:pPr>
        <w:jc w:val="both"/>
      </w:pPr>
      <w:r>
        <w:rPr>
          <w:rFonts w:ascii="EB Garamond" w:hAnsi="EB Garamond" w:cs="EB Garamond"/>
          <w:b/>
          <w:i w:val="0"/>
          <w:color w:val="26282E"/>
          <w:sz w:val="21"/>
        </w:rPr>
        <w:t>Marcantel v. United States, No. 3:23-cv-00180 (M.D. La. 2023)</w:t>
      </w:r>
      <w:r>
        <w:rPr>
          <w:rFonts w:ascii="EB Garamond" w:hAnsi="EB Garamond" w:cs="EB Garamond"/>
          <w:b w:val="0"/>
          <w:i w:val="0"/>
          <w:color w:val="26282E"/>
          <w:sz w:val="21"/>
        </w:rPr>
        <w:t xml:space="preserve"> (magistrate's report), the plaintiff filed "vessels doing business as [Name] … publishing MANDATORY NOTICE that they are Foreign Sovereigns … not subject to Territorial or Municipal United States law and owed The Law of Peace, Department of the Army Pamphlet 27-161-1 … 18 USC 2333" — </w:t>
      </w:r>
      <w:r>
        <w:rPr>
          <w:rFonts w:ascii="EB Garamond" w:hAnsi="EB Garamond" w:cs="EB Garamond"/>
          <w:b/>
          <w:i w:val="0"/>
          <w:color w:val="26282E"/>
          <w:sz w:val="21"/>
        </w:rPr>
        <w:t>sentence-for-sentence the same template</w:t>
      </w:r>
      <w:r>
        <w:rPr>
          <w:rFonts w:ascii="EB Garamond" w:hAnsi="EB Garamond" w:cs="EB Garamond"/>
          <w:b w:val="0"/>
          <w:i w:val="0"/>
          <w:color w:val="26282E"/>
          <w:sz w:val="21"/>
        </w:rPr>
        <w:t xml:space="preserve"> as lines 13–15 of the DISCLAIMER doc. The court found the filings "frivolous and without merit," citing the standing rejection of sovereign-citizen theories.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The Anna von Reitz "Mandatory Notice" templates (annavonreitz.com) circulating in the movement</w:t>
      </w:r>
    </w:p>
    <w:p>
      <w:pPr>
        <w:jc w:val="both"/>
      </w:pPr>
      <w:r>
        <w:rPr>
          <w:rFonts w:ascii="EB Garamond" w:hAnsi="EB Garamond" w:cs="EB Garamond"/>
          <w:b w:val="0"/>
          <w:i w:val="0"/>
          <w:color w:val="26282E"/>
          <w:sz w:val="21"/>
        </w:rPr>
        <w:t>contain the identical "Foreign Sovereigns … owed The Law of Peace, Department of the Army Pamphlet 27-161-1, from all Territorial and Municipal Officers and employees who otherwise have no permission to approach or address them … 18 USC 2333 18 USC 1341 and 1342" language — the source family of the exhibit 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Additional markers present in the doc and on FBI lists: punctuation stylings</w:t>
      </w:r>
    </w:p>
    <w:p>
      <w:pPr>
        <w:jc w:val="both"/>
      </w:pPr>
      <w:r>
        <w:rPr>
          <w:rFonts w:ascii="EB Garamond" w:hAnsi="EB Garamond" w:cs="EB Garamond"/>
          <w:b w:val="0"/>
          <w:i w:val="0"/>
          <w:color w:val="26282E"/>
          <w:sz w:val="21"/>
        </w:rPr>
        <w:t>("Philomen-Anabelle: McFee©"), a fictitious tax-exempt number, "secured party"/estate-trust beneficiary framing, USPS-as-notary/universal-receiver myth, and refusal-of-consent-to-contract ("adhesion contracts") rhetoric.</w:t>
      </w:r>
    </w:p>
    <w:p>
      <w:pPr>
        <w:pBdr>
          <w:bottom w:val="single" w:sz="6" w:space="1" w:color="B9975B"/>
        </w:pBdr>
      </w:pPr>
    </w:p>
    <w:p>
      <w:pPr>
        <w:keepNext/>
        <w:spacing w:before="240"/>
      </w:pPr>
      <w:r>
        <w:rPr>
          <w:rFonts w:ascii="EB Garamond" w:hAnsi="EB Garamond" w:cs="EB Garamond"/>
          <w:b/>
          <w:i w:val="0"/>
          <w:color w:val="1B2A41"/>
          <w:sz w:val="28"/>
        </w:rPr>
        <w:t>2. THE RECORD — verified law with citations</w:t>
      </w:r>
    </w:p>
    <w:p>
      <w:pPr>
        <w:keepNext/>
      </w:pPr>
      <w:r>
        <w:rPr>
          <w:rFonts w:ascii="EB Garamond" w:hAnsi="EB Garamond" w:cs="EB Garamond"/>
          <w:b/>
          <w:i w:val="0"/>
          <w:color w:val="B54E1F"/>
          <w:sz w:val="23"/>
        </w:rPr>
        <w:t>2.1 Adverse possession in New York (RPAPL §§ 501–541)</w:t>
      </w:r>
    </w:p>
    <w:p>
      <w:pPr>
        <w:jc w:val="both"/>
      </w:pPr>
      <w:r>
        <w:rPr>
          <w:rFonts w:ascii="EB Garamond" w:hAnsi="EB Garamond" w:cs="EB Garamond"/>
          <w:b/>
          <w:i w:val="0"/>
          <w:color w:val="26282E"/>
          <w:sz w:val="21"/>
        </w:rPr>
        <w:t>Statutory frame.</w:t>
      </w:r>
      <w:r>
        <w:rPr>
          <w:rFonts w:ascii="EB Garamond" w:hAnsi="EB Garamond" w:cs="EB Garamond"/>
          <w:b w:val="0"/>
          <w:i w:val="0"/>
          <w:color w:val="26282E"/>
          <w:sz w:val="21"/>
        </w:rPr>
        <w:t xml:space="preserve"> Article 5 of the Real Property Actions and Proceedings Law ("RPAPL") governs: § 501 (definitions), §§ 511–512 (adverse possession </w:t>
      </w:r>
      <w:r>
        <w:rPr>
          <w:rFonts w:ascii="EB Garamond" w:hAnsi="EB Garamond" w:cs="EB Garamond"/>
          <w:b/>
          <w:i w:val="0"/>
          <w:color w:val="26282E"/>
          <w:sz w:val="21"/>
        </w:rPr>
        <w:t>under written instrument/judgment</w:t>
      </w:r>
      <w:r>
        <w:rPr>
          <w:rFonts w:ascii="EB Garamond" w:hAnsi="EB Garamond" w:cs="EB Garamond"/>
          <w:b w:val="0"/>
          <w:i w:val="0"/>
          <w:color w:val="26282E"/>
          <w:sz w:val="21"/>
        </w:rPr>
        <w:t xml:space="preserve"> — "color of title"), §§ 521–522 (adverse possession </w:t>
      </w:r>
      <w:r>
        <w:rPr>
          <w:rFonts w:ascii="EB Garamond" w:hAnsi="EB Garamond" w:cs="EB Garamond"/>
          <w:b/>
          <w:i w:val="0"/>
          <w:color w:val="26282E"/>
          <w:sz w:val="21"/>
        </w:rPr>
        <w:t>not</w:t>
      </w:r>
      <w:r>
        <w:rPr>
          <w:rFonts w:ascii="EB Garamond" w:hAnsi="EB Garamond" w:cs="EB Garamond"/>
          <w:b w:val="0"/>
          <w:i w:val="0"/>
          <w:color w:val="26282E"/>
          <w:sz w:val="21"/>
        </w:rPr>
        <w:t xml:space="preserve"> under written instrument), § 531 (landlord-tenant relation), § 541 (tenants in common), § 543 (boundary-line acts).</w:t>
      </w:r>
    </w:p>
    <w:p>
      <w:pPr>
        <w:jc w:val="both"/>
      </w:pPr>
      <w:r>
        <w:rPr>
          <w:rFonts w:ascii="EB Garamond" w:hAnsi="EB Garamond" w:cs="EB Garamond"/>
          <w:b/>
          <w:i w:val="0"/>
          <w:color w:val="26282E"/>
          <w:sz w:val="21"/>
        </w:rPr>
        <w:t>The statutory period is 10 years.</w:t>
      </w:r>
      <w:r>
        <w:rPr>
          <w:rFonts w:ascii="EB Garamond" w:hAnsi="EB Garamond" w:cs="EB Garamond"/>
          <w:b w:val="0"/>
          <w:i w:val="0"/>
          <w:color w:val="26282E"/>
          <w:sz w:val="21"/>
        </w:rPr>
        <w:t xml:space="preserve"> RPAPL § 501(2) ties title to the statute of limitations in CPLR § 212(a) — an action to recover real property must be commenced within </w:t>
      </w:r>
      <w:r>
        <w:rPr>
          <w:rFonts w:ascii="EB Garamond" w:hAnsi="EB Garamond" w:cs="EB Garamond"/>
          <w:b/>
          <w:i w:val="0"/>
          <w:color w:val="26282E"/>
          <w:sz w:val="21"/>
        </w:rPr>
        <w:t>ten years</w:t>
      </w:r>
      <w:r>
        <w:rPr>
          <w:rFonts w:ascii="EB Garamond" w:hAnsi="EB Garamond" w:cs="EB Garamond"/>
          <w:b w:val="0"/>
          <w:i w:val="0"/>
          <w:color w:val="26282E"/>
          <w:sz w:val="21"/>
        </w:rPr>
        <w:t>; when it expires (and the occupancy has been adverse, under claim of right, open and notorious, continuous, exclusive, and actual), title vests in the adverse possessor.</w:t>
      </w:r>
    </w:p>
    <w:p>
      <w:pPr>
        <w:jc w:val="both"/>
      </w:pPr>
      <w:r>
        <w:rPr>
          <w:rFonts w:ascii="EB Garamond" w:hAnsi="EB Garamond" w:cs="EB Garamond"/>
          <w:b/>
          <w:i w:val="0"/>
          <w:color w:val="26282E"/>
          <w:sz w:val="21"/>
        </w:rPr>
        <w:t>Elements.</w:t>
      </w:r>
      <w:r>
        <w:rPr>
          <w:rFonts w:ascii="EB Garamond" w:hAnsi="EB Garamond" w:cs="EB Garamond"/>
          <w:b w:val="0"/>
          <w:i w:val="0"/>
          <w:color w:val="26282E"/>
          <w:sz w:val="21"/>
        </w:rPr>
        <w:t xml:space="preserve"> The classic five-element formulation, restated by the Court of Appeals in </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w:t>
      </w:r>
      <w:r>
        <w:rPr>
          <w:rFonts w:ascii="EB Garamond" w:hAnsi="EB Garamond" w:cs="EB Garamond"/>
          <w:b/>
          <w:i w:val="0"/>
          <w:color w:val="26282E"/>
          <w:sz w:val="21"/>
        </w:rPr>
        <w:t>7 N.Y.3d 214 (2006)</w:t>
      </w:r>
      <w:r>
        <w:rPr>
          <w:rFonts w:ascii="EB Garamond" w:hAnsi="EB Garamond" w:cs="EB Garamond"/>
          <w:b w:val="0"/>
          <w:i w:val="0"/>
          <w:color w:val="26282E"/>
          <w:sz w:val="21"/>
        </w:rPr>
        <w:t xml:space="preserve">: possession must be (1) </w:t>
      </w:r>
      <w:r>
        <w:rPr>
          <w:rFonts w:ascii="EB Garamond" w:hAnsi="EB Garamond" w:cs="EB Garamond"/>
          <w:b/>
          <w:i w:val="0"/>
          <w:color w:val="26282E"/>
          <w:sz w:val="21"/>
        </w:rPr>
        <w:t>hostile and under claim of right</w:t>
      </w:r>
      <w:r>
        <w:rPr>
          <w:rFonts w:ascii="EB Garamond" w:hAnsi="EB Garamond" w:cs="EB Garamond"/>
          <w:b w:val="0"/>
          <w:i w:val="0"/>
          <w:color w:val="26282E"/>
          <w:sz w:val="21"/>
        </w:rPr>
        <w:t xml:space="preserve">, (2) </w:t>
      </w:r>
      <w:r>
        <w:rPr>
          <w:rFonts w:ascii="EB Garamond" w:hAnsi="EB Garamond" w:cs="EB Garamond"/>
          <w:b/>
          <w:i w:val="0"/>
          <w:color w:val="26282E"/>
          <w:sz w:val="21"/>
        </w:rPr>
        <w:t>actual</w:t>
      </w:r>
      <w:r>
        <w:rPr>
          <w:rFonts w:ascii="EB Garamond" w:hAnsi="EB Garamond" w:cs="EB Garamond"/>
          <w:b w:val="0"/>
          <w:i w:val="0"/>
          <w:color w:val="26282E"/>
          <w:sz w:val="21"/>
        </w:rPr>
        <w:t xml:space="preserve">, (3) </w:t>
      </w:r>
      <w:r>
        <w:rPr>
          <w:rFonts w:ascii="EB Garamond" w:hAnsi="EB Garamond" w:cs="EB Garamond"/>
          <w:b/>
          <w:i w:val="0"/>
          <w:color w:val="26282E"/>
          <w:sz w:val="21"/>
        </w:rPr>
        <w:t>open and notorious</w:t>
      </w:r>
      <w:r>
        <w:rPr>
          <w:rFonts w:ascii="EB Garamond" w:hAnsi="EB Garamond" w:cs="EB Garamond"/>
          <w:b w:val="0"/>
          <w:i w:val="0"/>
          <w:color w:val="26282E"/>
          <w:sz w:val="21"/>
        </w:rPr>
        <w:t xml:space="preserve">, (4) </w:t>
      </w:r>
      <w:r>
        <w:rPr>
          <w:rFonts w:ascii="EB Garamond" w:hAnsi="EB Garamond" w:cs="EB Garamond"/>
          <w:b/>
          <w:i w:val="0"/>
          <w:color w:val="26282E"/>
          <w:sz w:val="21"/>
        </w:rPr>
        <w:t>exclusive</w:t>
      </w:r>
      <w:r>
        <w:rPr>
          <w:rFonts w:ascii="EB Garamond" w:hAnsi="EB Garamond" w:cs="EB Garamond"/>
          <w:b w:val="0"/>
          <w:i w:val="0"/>
          <w:color w:val="26282E"/>
          <w:sz w:val="21"/>
        </w:rPr>
        <w:t xml:space="preserve">, and (5) </w:t>
      </w:r>
      <w:r>
        <w:rPr>
          <w:rFonts w:ascii="EB Garamond" w:hAnsi="EB Garamond" w:cs="EB Garamond"/>
          <w:b/>
          <w:i w:val="0"/>
          <w:color w:val="26282E"/>
          <w:sz w:val="21"/>
        </w:rPr>
        <w:t>continuous for the statutory period</w:t>
      </w:r>
      <w:r>
        <w:rPr>
          <w:rFonts w:ascii="EB Garamond" w:hAnsi="EB Garamond" w:cs="EB Garamond"/>
          <w:b w:val="0"/>
          <w:i w:val="0"/>
          <w:color w:val="26282E"/>
          <w:sz w:val="21"/>
        </w:rPr>
        <w:t xml:space="preserve"> (citing </w:t>
      </w:r>
      <w:r>
        <w:rPr>
          <w:rFonts w:ascii="EB Garamond" w:hAnsi="EB Garamond" w:cs="EB Garamond"/>
          <w:b w:val="0"/>
          <w:i/>
          <w:color w:val="26282E"/>
          <w:sz w:val="21"/>
        </w:rPr>
        <w:t>Belotti v. Bickhardt</w:t>
      </w:r>
      <w:r>
        <w:rPr>
          <w:rFonts w:ascii="EB Garamond" w:hAnsi="EB Garamond" w:cs="EB Garamond"/>
          <w:b w:val="0"/>
          <w:i w:val="0"/>
          <w:color w:val="26282E"/>
          <w:sz w:val="21"/>
        </w:rPr>
        <w:t xml:space="preserve">, 228 N.Y. 296 (1920); </w:t>
      </w:r>
      <w:r>
        <w:rPr>
          <w:rFonts w:ascii="EB Garamond" w:hAnsi="EB Garamond" w:cs="EB Garamond"/>
          <w:b w:val="0"/>
          <w:i/>
          <w:color w:val="26282E"/>
          <w:sz w:val="21"/>
        </w:rPr>
        <w:t>Van Valkenburgh v. Lutz</w:t>
      </w:r>
      <w:r>
        <w:rPr>
          <w:rFonts w:ascii="EB Garamond" w:hAnsi="EB Garamond" w:cs="EB Garamond"/>
          <w:b w:val="0"/>
          <w:i w:val="0"/>
          <w:color w:val="26282E"/>
          <w:sz w:val="21"/>
        </w:rPr>
        <w:t xml:space="preserve">, 304 N.Y. 95 (1952)). Proof is by </w:t>
      </w:r>
      <w:r>
        <w:rPr>
          <w:rFonts w:ascii="EB Garamond" w:hAnsi="EB Garamond" w:cs="EB Garamond"/>
          <w:b/>
          <w:i w:val="0"/>
          <w:color w:val="26282E"/>
          <w:sz w:val="21"/>
        </w:rPr>
        <w:t>clear and convincing evidence</w:t>
      </w:r>
      <w:r>
        <w:rPr>
          <w:rFonts w:ascii="EB Garamond" w:hAnsi="EB Garamond" w:cs="EB Garamond"/>
          <w:b w:val="0"/>
          <w:i w:val="0"/>
          <w:color w:val="26282E"/>
          <w:sz w:val="21"/>
        </w:rPr>
        <w:t xml:space="preserve"> (</w:t>
      </w:r>
      <w:r>
        <w:rPr>
          <w:rFonts w:ascii="EB Garamond" w:hAnsi="EB Garamond" w:cs="EB Garamond"/>
          <w:b w:val="0"/>
          <w:i/>
          <w:color w:val="26282E"/>
          <w:sz w:val="21"/>
        </w:rPr>
        <w:t>Ray v. Beacon Hudson Mountain Corp.</w:t>
      </w:r>
      <w:r>
        <w:rPr>
          <w:rFonts w:ascii="EB Garamond" w:hAnsi="EB Garamond" w:cs="EB Garamond"/>
          <w:b w:val="0"/>
          <w:i w:val="0"/>
          <w:color w:val="26282E"/>
          <w:sz w:val="21"/>
        </w:rPr>
        <w:t>, 88 N.Y.2d 154 (1996)).</w:t>
      </w:r>
    </w:p>
    <w:p>
      <w:pPr>
        <w:jc w:val="both"/>
      </w:pPr>
      <w:r>
        <w:rPr>
          <w:rFonts w:ascii="EB Garamond" w:hAnsi="EB Garamond" w:cs="EB Garamond"/>
          <w:b w:val="0"/>
          <w:i w:val="0"/>
          <w:color w:val="26282E"/>
          <w:sz w:val="21"/>
        </w:rPr>
        <w:t>**</w:t>
      </w:r>
      <w:r>
        <w:rPr>
          <w:rFonts w:ascii="EB Garamond" w:hAnsi="EB Garamond" w:cs="EB Garamond"/>
          <w:b w:val="0"/>
          <w:i/>
          <w:color w:val="26282E"/>
          <w:sz w:val="21"/>
        </w:rPr>
        <w:t>Walling v. Przybylo</w:t>
      </w:r>
      <w:r>
        <w:rPr>
          <w:rFonts w:ascii="EB Garamond" w:hAnsi="EB Garamond" w:cs="EB Garamond"/>
          <w:b w:val="0"/>
          <w:i w:val="0"/>
          <w:color w:val="26282E"/>
          <w:sz w:val="21"/>
        </w:rPr>
        <w:t xml:space="preserve"> and the 2008 amendments.*</w:t>
      </w:r>
      <w:r>
        <w:rPr>
          <w:rFonts w:ascii="EB Garamond" w:hAnsi="EB Garamond" w:cs="EB Garamond"/>
          <w:b w:val="0"/>
          <w:i/>
          <w:color w:val="26282E"/>
          <w:sz w:val="21"/>
        </w:rPr>
        <w:t xml:space="preserve"> </w:t>
      </w:r>
      <w:r>
        <w:rPr>
          <w:rFonts w:ascii="EB Garamond" w:hAnsi="EB Garamond" w:cs="EB Garamond"/>
          <w:b w:val="0"/>
          <w:i w:val="0"/>
          <w:color w:val="26282E"/>
          <w:sz w:val="21"/>
        </w:rPr>
        <w:t>Walling</w:t>
      </w:r>
      <w:r>
        <w:rPr>
          <w:rFonts w:ascii="EB Garamond" w:hAnsi="EB Garamond" w:cs="EB Garamond"/>
          <w:b w:val="0"/>
          <w:i/>
          <w:color w:val="26282E"/>
          <w:sz w:val="21"/>
        </w:rPr>
        <w:t xml:space="preserve"> held that an adverse possessor's </w:t>
      </w:r>
      <w:r>
        <w:rPr>
          <w:rFonts w:ascii="EB Garamond" w:hAnsi="EB Garamond" w:cs="EB Garamond"/>
          <w:b w:val="0"/>
          <w:i/>
          <w:color w:val="26282E"/>
          <w:sz w:val="21"/>
        </w:rPr>
        <w:t>actual knowledge</w:t>
      </w:r>
      <w:r>
        <w:rPr>
          <w:rFonts w:ascii="EB Garamond" w:hAnsi="EB Garamond" w:cs="EB Garamond"/>
          <w:b w:val="0"/>
          <w:i/>
          <w:color w:val="26282E"/>
          <w:sz w:val="21"/>
        </w:rPr>
        <w:t xml:space="preserve"> of the true owner does not, by itself, defeat the "claim of right" element — the Wallings won title to a strip they knew (from a 2004 survey) belonged to the Przybylos, based on 18+ years of mowing, landscaping, and construction across the mistaken boundary. The Legislature reacted in 2008 (effective </w:t>
      </w:r>
      <w:r>
        <w:rPr>
          <w:rFonts w:ascii="EB Garamond" w:hAnsi="EB Garamond" w:cs="EB Garamond"/>
          <w:b w:val="0"/>
          <w:i/>
          <w:color w:val="26282E"/>
          <w:sz w:val="21"/>
        </w:rPr>
        <w:t>July 8, 2008</w:t>
      </w:r>
      <w:r>
        <w:rPr>
          <w:rFonts w:ascii="EB Garamond" w:hAnsi="EB Garamond" w:cs="EB Garamond"/>
          <w:b w:val="0"/>
          <w:i w:val="0"/>
          <w:color w:val="26282E"/>
          <w:sz w:val="21"/>
        </w:rPr>
        <w:t>*, L. 2008, ch. 269), amending RPAPL Article 5 to:</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redefine </w:t>
      </w:r>
      <w:r>
        <w:rPr>
          <w:rFonts w:ascii="EB Garamond" w:hAnsi="EB Garamond" w:cs="EB Garamond"/>
          <w:b/>
          <w:i w:val="0"/>
          <w:color w:val="26282E"/>
          <w:sz w:val="21"/>
        </w:rPr>
        <w:t>"claim of right"</w:t>
      </w:r>
      <w:r>
        <w:rPr>
          <w:rFonts w:ascii="EB Garamond" w:hAnsi="EB Garamond" w:cs="EB Garamond"/>
          <w:b w:val="0"/>
          <w:i w:val="0"/>
          <w:color w:val="26282E"/>
          <w:sz w:val="21"/>
        </w:rPr>
        <w:t xml:space="preserve"> as "a </w:t>
      </w:r>
      <w:r>
        <w:rPr>
          <w:rFonts w:ascii="EB Garamond" w:hAnsi="EB Garamond" w:cs="EB Garamond"/>
          <w:b/>
          <w:i w:val="0"/>
          <w:color w:val="26282E"/>
          <w:sz w:val="21"/>
        </w:rPr>
        <w:t>reasonable basis for the belief</w:t>
      </w:r>
      <w:r>
        <w:rPr>
          <w:rFonts w:ascii="EB Garamond" w:hAnsi="EB Garamond" w:cs="EB Garamond"/>
          <w:b w:val="0"/>
          <w:i w:val="0"/>
          <w:color w:val="26282E"/>
          <w:sz w:val="21"/>
        </w:rPr>
        <w:t xml:space="preserve"> that the property belongs</w:t>
      </w:r>
    </w:p>
    <w:p>
      <w:pPr>
        <w:jc w:val="both"/>
      </w:pPr>
      <w:r>
        <w:rPr>
          <w:rFonts w:ascii="EB Garamond" w:hAnsi="EB Garamond" w:cs="EB Garamond"/>
          <w:b w:val="0"/>
          <w:i w:val="0"/>
          <w:color w:val="26282E"/>
          <w:sz w:val="21"/>
        </w:rPr>
        <w:t xml:space="preserve">to the adverse possessor" (§ 501(3)) — codifying a good-faith-style requirement that overrules </w:t>
      </w:r>
      <w:r>
        <w:rPr>
          <w:rFonts w:ascii="EB Garamond" w:hAnsi="EB Garamond" w:cs="EB Garamond"/>
          <w:b w:val="0"/>
          <w:i/>
          <w:color w:val="26282E"/>
          <w:sz w:val="21"/>
        </w:rPr>
        <w:t>Walling</w:t>
      </w:r>
      <w:r>
        <w:rPr>
          <w:rFonts w:ascii="EB Garamond" w:hAnsi="EB Garamond" w:cs="EB Garamond"/>
          <w:b w:val="0"/>
          <w:i w:val="0"/>
          <w:color w:val="26282E"/>
          <w:sz w:val="21"/>
        </w:rPr>
        <w:t xml:space="preserve"> for claims accruing after the amendment;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deem </w:t>
      </w:r>
      <w:r>
        <w:rPr>
          <w:rFonts w:ascii="EB Garamond" w:hAnsi="EB Garamond" w:cs="EB Garamond"/>
          <w:b/>
          <w:i w:val="0"/>
          <w:color w:val="26282E"/>
          <w:sz w:val="21"/>
        </w:rPr>
        <w:t>"de minimis non-structural encroachments"</w:t>
      </w:r>
      <w:r>
        <w:rPr>
          <w:rFonts w:ascii="EB Garamond" w:hAnsi="EB Garamond" w:cs="EB Garamond"/>
          <w:b w:val="0"/>
          <w:i w:val="0"/>
          <w:color w:val="26282E"/>
          <w:sz w:val="21"/>
        </w:rPr>
        <w:t xml:space="preserve"> (fences, hedges, shrubbery, plantings, sheds,</w:t>
      </w:r>
    </w:p>
    <w:p>
      <w:pPr>
        <w:jc w:val="both"/>
      </w:pPr>
      <w:r>
        <w:rPr>
          <w:rFonts w:ascii="EB Garamond" w:hAnsi="EB Garamond" w:cs="EB Garamond"/>
          <w:b w:val="0"/>
          <w:i w:val="0"/>
          <w:color w:val="26282E"/>
          <w:sz w:val="21"/>
        </w:rPr>
        <w:t xml:space="preserve">non-structural walls) and </w:t>
      </w:r>
      <w:r>
        <w:rPr>
          <w:rFonts w:ascii="EB Garamond" w:hAnsi="EB Garamond" w:cs="EB Garamond"/>
          <w:b/>
          <w:i w:val="0"/>
          <w:color w:val="26282E"/>
          <w:sz w:val="21"/>
        </w:rPr>
        <w:t>lawnmowing or similar maintenance</w:t>
      </w:r>
      <w:r>
        <w:rPr>
          <w:rFonts w:ascii="EB Garamond" w:hAnsi="EB Garamond" w:cs="EB Garamond"/>
          <w:b w:val="0"/>
          <w:i w:val="0"/>
          <w:color w:val="26282E"/>
          <w:sz w:val="21"/>
        </w:rPr>
        <w:t xml:space="preserve"> across a boundary line "</w:t>
      </w:r>
      <w:r>
        <w:rPr>
          <w:rFonts w:ascii="EB Garamond" w:hAnsi="EB Garamond" w:cs="EB Garamond"/>
          <w:b/>
          <w:i w:val="0"/>
          <w:color w:val="26282E"/>
          <w:sz w:val="21"/>
        </w:rPr>
        <w:t>permissive and non-adverse</w:t>
      </w:r>
      <w:r>
        <w:rPr>
          <w:rFonts w:ascii="EB Garamond" w:hAnsi="EB Garamond" w:cs="EB Garamond"/>
          <w:b w:val="0"/>
          <w:i w:val="0"/>
          <w:color w:val="26282E"/>
          <w:sz w:val="21"/>
        </w:rPr>
        <w:t>" per se (§ 543(1)–(2));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tighten §§ 511/512 (written-instrument claims: the instrument must actually describe the land,</w:t>
      </w:r>
    </w:p>
    <w:p>
      <w:pPr>
        <w:jc w:val="both"/>
      </w:pPr>
      <w:r>
        <w:rPr>
          <w:rFonts w:ascii="EB Garamond" w:hAnsi="EB Garamond" w:cs="EB Garamond"/>
          <w:b w:val="0"/>
          <w:i w:val="0"/>
          <w:color w:val="26282E"/>
          <w:sz w:val="21"/>
        </w:rPr>
        <w:t xml:space="preserve">and possession must be of the whole described premises, with the requirements expressly stated in § 512(1)–(6)). Retroactivity was limited: the amendments apply to claims </w:t>
      </w:r>
      <w:r>
        <w:rPr>
          <w:rFonts w:ascii="EB Garamond" w:hAnsi="EB Garamond" w:cs="EB Garamond"/>
          <w:b/>
          <w:i w:val="0"/>
          <w:color w:val="26282E"/>
          <w:sz w:val="21"/>
        </w:rPr>
        <w:t>filed on or after July 8, 2008</w:t>
      </w:r>
      <w:r>
        <w:rPr>
          <w:rFonts w:ascii="EB Garamond" w:hAnsi="EB Garamond" w:cs="EB Garamond"/>
          <w:b w:val="0"/>
          <w:i w:val="0"/>
          <w:color w:val="26282E"/>
          <w:sz w:val="21"/>
        </w:rPr>
        <w:t xml:space="preserve">, but courts hold title </w:t>
      </w:r>
      <w:r>
        <w:rPr>
          <w:rFonts w:ascii="EB Garamond" w:hAnsi="EB Garamond" w:cs="EB Garamond"/>
          <w:b/>
          <w:i w:val="0"/>
          <w:color w:val="26282E"/>
          <w:sz w:val="21"/>
        </w:rPr>
        <w:t>vests under the law in force when the prescriptive period completed</w:t>
      </w:r>
      <w:r>
        <w:rPr>
          <w:rFonts w:ascii="EB Garamond" w:hAnsi="EB Garamond" w:cs="EB Garamond"/>
          <w:b w:val="0"/>
          <w:i w:val="0"/>
          <w:color w:val="26282E"/>
          <w:sz w:val="21"/>
        </w:rPr>
        <w:t>, so pre-2008-vesting claims are measured by the old standard (</w:t>
      </w:r>
      <w:r>
        <w:rPr>
          <w:rFonts w:ascii="EB Garamond" w:hAnsi="EB Garamond" w:cs="EB Garamond"/>
          <w:b w:val="0"/>
          <w:i/>
          <w:color w:val="26282E"/>
          <w:sz w:val="21"/>
        </w:rPr>
        <w:t>e.g.</w:t>
      </w:r>
      <w:r>
        <w:rPr>
          <w:rFonts w:ascii="EB Garamond" w:hAnsi="EB Garamond" w:cs="EB Garamond"/>
          <w:b w:val="0"/>
          <w:i w:val="0"/>
          <w:color w:val="26282E"/>
          <w:sz w:val="21"/>
        </w:rPr>
        <w:t>, Fourth Department unconstitutionality-of-retroactive-application analysis; First Department, June 30, 2016, applied the same vesting rule, discussed next).</w:t>
      </w:r>
    </w:p>
    <w:p>
      <w:pPr>
        <w:jc w:val="both"/>
      </w:pPr>
      <w:r>
        <w:rPr>
          <w:rFonts w:ascii="EB Garamond" w:hAnsi="EB Garamond" w:cs="EB Garamond"/>
          <w:b w:val="0"/>
          <w:i w:val="0"/>
          <w:color w:val="26282E"/>
          <w:sz w:val="21"/>
        </w:rPr>
        <w:t>**</w:t>
      </w:r>
      <w:r>
        <w:rPr>
          <w:rFonts w:ascii="EB Garamond" w:hAnsi="EB Garamond" w:cs="EB Garamond"/>
          <w:b w:val="0"/>
          <w:i/>
          <w:color w:val="26282E"/>
          <w:sz w:val="21"/>
        </w:rPr>
        <w:t>Hudson Square Hotel, LLC v. Stathis Enterprises, LLC</w:t>
      </w:r>
      <w:r>
        <w:rPr>
          <w:rFonts w:ascii="EB Garamond" w:hAnsi="EB Garamond" w:cs="EB Garamond"/>
          <w:b w:val="0"/>
          <w:i w:val="0"/>
          <w:color w:val="26282E"/>
          <w:sz w:val="21"/>
        </w:rPr>
        <w:t>, 2016 NY Slip Op 05232 (1st Dep't, June 30, 2016)</w:t>
      </w:r>
      <w:r>
        <w:rPr>
          <w:rFonts w:ascii="EB Garamond" w:hAnsi="EB Garamond" w:cs="EB Garamond"/>
          <w:b/>
          <w:i w:val="0"/>
          <w:color w:val="26282E"/>
          <w:sz w:val="21"/>
        </w:rPr>
        <w:t xml:space="preserve"> — the case summarized (mostly accurately) at lines 129–133 of the squatting doc: title vested when the plaintiff "satisfied the requirement of the statute in effect at the relevant time"; an encroachment </w:t>
      </w:r>
      <w:r>
        <w:rPr>
          <w:rFonts w:ascii="EB Garamond" w:hAnsi="EB Garamond" w:cs="EB Garamond"/>
          <w:b w:val="0"/>
          <w:i w:val="0"/>
          <w:color w:val="26282E"/>
          <w:sz w:val="21"/>
        </w:rPr>
        <w:t>on the land</w:t>
      </w:r>
      <w:r>
        <w:rPr>
          <w:rFonts w:ascii="EB Garamond" w:hAnsi="EB Garamond" w:cs="EB Garamond"/>
          <w:b/>
          <w:i w:val="0"/>
          <w:color w:val="26282E"/>
          <w:sz w:val="21"/>
        </w:rPr>
        <w:t xml:space="preserve"> suffices — the possessor need not physically occupy the air above — and "</w:t>
      </w:r>
      <w:r>
        <w:rPr>
          <w:rFonts w:ascii="EB Garamond" w:hAnsi="EB Garamond" w:cs="EB Garamond"/>
          <w:b w:val="0"/>
          <w:i w:val="0"/>
          <w:color w:val="26282E"/>
          <w:sz w:val="21"/>
        </w:rPr>
        <w:t>[w]ith title to land come air rights*</w:t>
      </w:r>
      <w:r>
        <w:rPr>
          <w:rFonts w:ascii="EB Garamond" w:hAnsi="EB Garamond" w:cs="EB Garamond"/>
          <w:b w:val="0"/>
          <w:i/>
          <w:color w:val="26282E"/>
          <w:sz w:val="21"/>
        </w:rPr>
        <w:t xml:space="preserve">," so the plaintiff acquired the (more valuable) air rights derivatively. </w:t>
      </w:r>
      <w:r>
        <w:rPr>
          <w:rFonts w:ascii="EB Garamond" w:hAnsi="EB Garamond" w:cs="EB Garamond"/>
          <w:b w:val="0"/>
          <w:i w:val="0"/>
          <w:color w:val="26282E"/>
          <w:sz w:val="21"/>
        </w:rPr>
        <w:t>Caveat for accuracy:</w:t>
      </w:r>
      <w:r>
        <w:rPr>
          <w:rFonts w:ascii="EB Garamond" w:hAnsi="EB Garamond" w:cs="EB Garamond"/>
          <w:b w:val="0"/>
          <w:i/>
          <w:color w:val="26282E"/>
          <w:sz w:val="21"/>
        </w:rPr>
        <w:t xml:space="preserve"> later stages of the litigation (</w:t>
      </w:r>
      <w:r>
        <w:rPr>
          <w:rFonts w:ascii="EB Garamond" w:hAnsi="EB Garamond" w:cs="EB Garamond"/>
          <w:b w:val="0"/>
          <w:i w:val="0"/>
          <w:color w:val="26282E"/>
          <w:sz w:val="21"/>
        </w:rPr>
        <w:t>Stang LLC v. Hudson Square Hotel</w:t>
      </w:r>
      <w:r>
        <w:rPr>
          <w:rFonts w:ascii="EB Garamond" w:hAnsi="EB Garamond" w:cs="EB Garamond"/>
          <w:b w:val="0"/>
          <w:i/>
          <w:color w:val="26282E"/>
          <w:sz w:val="21"/>
        </w:rPr>
        <w:t xml:space="preserve">, Sup. Ct. N.Y. Cnty. 2016) </w:t>
      </w:r>
      <w:r>
        <w:rPr>
          <w:rFonts w:ascii="EB Garamond" w:hAnsi="EB Garamond" w:cs="EB Garamond"/>
          <w:b w:val="0"/>
          <w:i/>
          <w:color w:val="26282E"/>
          <w:sz w:val="21"/>
        </w:rPr>
        <w:t>disqualified the plaintiff's counsel and vacated the 2013 conveyance</w:t>
      </w:r>
      <w:r>
        <w:rPr>
          <w:rFonts w:ascii="EB Garamond" w:hAnsi="EB Garamond" w:cs="EB Garamond"/>
          <w:b w:val="0"/>
          <w:i w:val="0"/>
          <w:color w:val="26282E"/>
          <w:sz w:val="21"/>
        </w:rPr>
        <w:t>* obtained by the adverse-possession winner, so the air-rights dictum should be exhibited as a holding later complicated by attorney-misconduct litigation.</w:t>
      </w:r>
    </w:p>
    <w:p>
      <w:pPr>
        <w:jc w:val="both"/>
      </w:pPr>
      <w:r>
        <w:rPr>
          <w:rFonts w:ascii="EB Garamond" w:hAnsi="EB Garamond" w:cs="EB Garamond"/>
          <w:b/>
          <w:i w:val="0"/>
          <w:color w:val="26282E"/>
          <w:sz w:val="21"/>
        </w:rPr>
        <w:t>Recent squatter-coverage controversy and the 2024 statutory fix.</w:t>
      </w:r>
      <w:r>
        <w:rPr>
          <w:rFonts w:ascii="EB Garamond" w:hAnsi="EB Garamond" w:cs="EB Garamond"/>
          <w:b w:val="0"/>
          <w:i w:val="0"/>
          <w:color w:val="26282E"/>
          <w:sz w:val="21"/>
        </w:rPr>
        <w:t xml:space="preserve"> Through the early 2020s, NYC (especially Queens) and Long Island saw widely covered cases of strangers occupying homes; public furor centered on the (largely mythical) idea that </w:t>
      </w:r>
      <w:r>
        <w:rPr>
          <w:rFonts w:ascii="EB Garamond" w:hAnsi="EB Garamond" w:cs="EB Garamond"/>
          <w:b/>
          <w:i w:val="0"/>
          <w:color w:val="26282E"/>
          <w:sz w:val="21"/>
        </w:rPr>
        <w:t>30 days of occupation converts a squatter into a "tenant"</w:t>
      </w:r>
      <w:r>
        <w:rPr>
          <w:rFonts w:ascii="EB Garamond" w:hAnsi="EB Garamond" w:cs="EB Garamond"/>
          <w:b w:val="0"/>
          <w:i w:val="0"/>
          <w:color w:val="26282E"/>
          <w:sz w:val="21"/>
        </w:rPr>
        <w:t xml:space="preserve"> whom police will not remove. In fact, the 30-day figure comes from the definition of </w:t>
      </w:r>
      <w:r>
        <w:rPr>
          <w:rFonts w:ascii="EB Garamond" w:hAnsi="EB Garamond" w:cs="EB Garamond"/>
          <w:b w:val="0"/>
          <w:i/>
          <w:color w:val="26282E"/>
          <w:sz w:val="21"/>
        </w:rPr>
        <w:t>tenant/roommate</w:t>
      </w:r>
      <w:r>
        <w:rPr>
          <w:rFonts w:ascii="EB Garamond" w:hAnsi="EB Garamond" w:cs="EB Garamond"/>
          <w:b w:val="0"/>
          <w:i w:val="0"/>
          <w:color w:val="26282E"/>
          <w:sz w:val="21"/>
        </w:rPr>
        <w:t xml:space="preserve"> status in RPAPL § 711 (possession 30 consecutive days → removable only by court process), while squatters have long been removable under § 713(3) (ten-day notice to quit) — a distinction courts already drew (</w:t>
      </w:r>
      <w:r>
        <w:rPr>
          <w:rFonts w:ascii="EB Garamond" w:hAnsi="EB Garamond" w:cs="EB Garamond"/>
          <w:b w:val="0"/>
          <w:i/>
          <w:color w:val="26282E"/>
          <w:sz w:val="21"/>
        </w:rPr>
        <w:t>Paulino v. Wright</w:t>
      </w:r>
      <w:r>
        <w:rPr>
          <w:rFonts w:ascii="EB Garamond" w:hAnsi="EB Garamond" w:cs="EB Garamond"/>
          <w:b w:val="0"/>
          <w:i w:val="0"/>
          <w:color w:val="26282E"/>
          <w:sz w:val="21"/>
        </w:rPr>
        <w:t xml:space="preserve">). Media/political pressure produced the </w:t>
      </w:r>
      <w:r>
        <w:rPr>
          <w:rFonts w:ascii="EB Garamond" w:hAnsi="EB Garamond" w:cs="EB Garamond"/>
          <w:b/>
          <w:i w:val="0"/>
          <w:color w:val="26282E"/>
          <w:sz w:val="21"/>
        </w:rPr>
        <w:t>FY 2025 budget fix signed by Gov. Hochul on April 20, 2024</w:t>
      </w:r>
      <w:r>
        <w:rPr>
          <w:rFonts w:ascii="EB Garamond" w:hAnsi="EB Garamond" w:cs="EB Garamond"/>
          <w:b w:val="0"/>
          <w:i w:val="0"/>
          <w:color w:val="26282E"/>
          <w:sz w:val="21"/>
        </w:rPr>
        <w:t>: RPAPL § 711 was amended to state "</w:t>
      </w:r>
      <w:r>
        <w:rPr>
          <w:rFonts w:ascii="EB Garamond" w:hAnsi="EB Garamond" w:cs="EB Garamond"/>
          <w:b/>
          <w:i w:val="0"/>
          <w:color w:val="26282E"/>
          <w:sz w:val="21"/>
        </w:rPr>
        <w:t>A tenant shall not include a squatter</w:t>
      </w:r>
      <w:r>
        <w:rPr>
          <w:rFonts w:ascii="EB Garamond" w:hAnsi="EB Garamond" w:cs="EB Garamond"/>
          <w:b w:val="0"/>
          <w:i w:val="0"/>
          <w:color w:val="26282E"/>
          <w:sz w:val="21"/>
        </w:rPr>
        <w:t xml:space="preserve">," defining a squatter as one "who enters onto or intrudes upon real property without the permission of the person entitled to possession, and continues to occupy the property without title, right or permission," with § 713 controlling in conflicts. Companion bill S8866–S8869 (self-help eviction carve-outs, law-enforcement removal, criminal-trespass clarification) were introduced but </w:t>
      </w:r>
      <w:r>
        <w:rPr>
          <w:rFonts w:ascii="EB Garamond" w:hAnsi="EB Garamond" w:cs="EB Garamond"/>
          <w:b/>
          <w:i w:val="0"/>
          <w:color w:val="26282E"/>
          <w:sz w:val="21"/>
        </w:rPr>
        <w:t>not</w:t>
      </w:r>
      <w:r>
        <w:rPr>
          <w:rFonts w:ascii="EB Garamond" w:hAnsi="EB Garamond" w:cs="EB Garamond"/>
          <w:b w:val="0"/>
          <w:i w:val="0"/>
          <w:color w:val="26282E"/>
          <w:sz w:val="21"/>
        </w:rPr>
        <w:t xml:space="preserve"> enacted as of writing. </w:t>
      </w:r>
      <w:r>
        <w:rPr>
          <w:rFonts w:ascii="EB Garamond" w:hAnsi="EB Garamond" w:cs="EB Garamond"/>
          <w:b/>
          <w:i w:val="0"/>
          <w:color w:val="26282E"/>
          <w:sz w:val="21"/>
        </w:rPr>
        <w:t>Key exhibit point:</w:t>
      </w:r>
      <w:r>
        <w:rPr>
          <w:rFonts w:ascii="EB Garamond" w:hAnsi="EB Garamond" w:cs="EB Garamond"/>
          <w:b w:val="0"/>
          <w:i w:val="0"/>
          <w:color w:val="26282E"/>
          <w:sz w:val="21"/>
        </w:rPr>
        <w:t xml:space="preserve"> the 2024 amendment changed </w:t>
      </w:r>
      <w:r>
        <w:rPr>
          <w:rFonts w:ascii="EB Garamond" w:hAnsi="EB Garamond" w:cs="EB Garamond"/>
          <w:b/>
          <w:i w:val="0"/>
          <w:color w:val="26282E"/>
          <w:sz w:val="21"/>
        </w:rPr>
        <w:t>eviction procedure only</w:t>
      </w:r>
      <w:r>
        <w:rPr>
          <w:rFonts w:ascii="EB Garamond" w:hAnsi="EB Garamond" w:cs="EB Garamond"/>
          <w:b w:val="0"/>
          <w:i w:val="0"/>
          <w:color w:val="26282E"/>
          <w:sz w:val="21"/>
        </w:rPr>
        <w:t xml:space="preserve"> — it did not touch the 10-year RPAPL Article 5 requirements for acquiring title by adverse possession, which remain as amended in 2008.</w:t>
      </w:r>
    </w:p>
    <w:p>
      <w:pPr>
        <w:keepNext/>
      </w:pPr>
      <w:r>
        <w:rPr>
          <w:rFonts w:ascii="EB Garamond" w:hAnsi="EB Garamond" w:cs="EB Garamond"/>
          <w:b/>
          <w:i w:val="0"/>
          <w:color w:val="B54E1F"/>
          <w:sz w:val="23"/>
        </w:rPr>
        <w:t>2.2 Seditious conspiracy — 18 U.S.C. § 2384</w:t>
      </w:r>
    </w:p>
    <w:p>
      <w:pPr>
        <w:jc w:val="both"/>
      </w:pPr>
      <w:r>
        <w:rPr>
          <w:rFonts w:ascii="EB Garamond" w:hAnsi="EB Garamond" w:cs="EB Garamond"/>
          <w:b/>
          <w:i w:val="0"/>
          <w:color w:val="26282E"/>
          <w:sz w:val="21"/>
        </w:rPr>
        <w:t>Text/elements.</w:t>
      </w:r>
      <w:r>
        <w:rPr>
          <w:rFonts w:ascii="EB Garamond" w:hAnsi="EB Garamond" w:cs="EB Garamond"/>
          <w:b w:val="0"/>
          <w:i w:val="0"/>
          <w:color w:val="26282E"/>
          <w:sz w:val="21"/>
        </w:rPr>
        <w:t xml:space="preserve"> "If two or more persons in any State or Territory, or in any place subject to the jurisdiction of the United States, conspire </w:t>
      </w:r>
      <w:r>
        <w:rPr>
          <w:rFonts w:ascii="EB Garamond" w:hAnsi="EB Garamond" w:cs="EB Garamond"/>
          <w:b/>
          <w:i w:val="0"/>
          <w:color w:val="26282E"/>
          <w:sz w:val="21"/>
        </w:rPr>
        <w:t>to overthrow, put down, or to destroy by force</w:t>
      </w:r>
      <w:r>
        <w:rPr>
          <w:rFonts w:ascii="EB Garamond" w:hAnsi="EB Garamond" w:cs="EB Garamond"/>
          <w:b w:val="0"/>
          <w:i w:val="0"/>
          <w:color w:val="26282E"/>
          <w:sz w:val="21"/>
        </w:rPr>
        <w:t xml:space="preserve"> the Government of the United States, or </w:t>
      </w:r>
      <w:r>
        <w:rPr>
          <w:rFonts w:ascii="EB Garamond" w:hAnsi="EB Garamond" w:cs="EB Garamond"/>
          <w:b/>
          <w:i w:val="0"/>
          <w:color w:val="26282E"/>
          <w:sz w:val="21"/>
        </w:rPr>
        <w:t>to levy war</w:t>
      </w:r>
      <w:r>
        <w:rPr>
          <w:rFonts w:ascii="EB Garamond" w:hAnsi="EB Garamond" w:cs="EB Garamond"/>
          <w:b w:val="0"/>
          <w:i w:val="0"/>
          <w:color w:val="26282E"/>
          <w:sz w:val="21"/>
        </w:rPr>
        <w:t xml:space="preserve"> against them, or </w:t>
      </w:r>
      <w:r>
        <w:rPr>
          <w:rFonts w:ascii="EB Garamond" w:hAnsi="EB Garamond" w:cs="EB Garamond"/>
          <w:b/>
          <w:i w:val="0"/>
          <w:color w:val="26282E"/>
          <w:sz w:val="21"/>
        </w:rPr>
        <w:t>to oppose by force the authority thereof</w:t>
      </w:r>
      <w:r>
        <w:rPr>
          <w:rFonts w:ascii="EB Garamond" w:hAnsi="EB Garamond" w:cs="EB Garamond"/>
          <w:b w:val="0"/>
          <w:i w:val="0"/>
          <w:color w:val="26282E"/>
          <w:sz w:val="21"/>
        </w:rPr>
        <w:t xml:space="preserve">, or </w:t>
      </w:r>
      <w:r>
        <w:rPr>
          <w:rFonts w:ascii="EB Garamond" w:hAnsi="EB Garamond" w:cs="EB Garamond"/>
          <w:b/>
          <w:i w:val="0"/>
          <w:color w:val="26282E"/>
          <w:sz w:val="21"/>
        </w:rPr>
        <w:t>by force to prevent, hinder, or delay the execution of any law</w:t>
      </w:r>
      <w:r>
        <w:rPr>
          <w:rFonts w:ascii="EB Garamond" w:hAnsi="EB Garamond" w:cs="EB Garamond"/>
          <w:b w:val="0"/>
          <w:i w:val="0"/>
          <w:color w:val="26282E"/>
          <w:sz w:val="21"/>
        </w:rPr>
        <w:t xml:space="preserve"> of the United States, or </w:t>
      </w:r>
      <w:r>
        <w:rPr>
          <w:rFonts w:ascii="EB Garamond" w:hAnsi="EB Garamond" w:cs="EB Garamond"/>
          <w:b/>
          <w:i w:val="0"/>
          <w:color w:val="26282E"/>
          <w:sz w:val="21"/>
        </w:rPr>
        <w:t>by force to seize, take, or possess any property</w:t>
      </w:r>
      <w:r>
        <w:rPr>
          <w:rFonts w:ascii="EB Garamond" w:hAnsi="EB Garamond" w:cs="EB Garamond"/>
          <w:b w:val="0"/>
          <w:i w:val="0"/>
          <w:color w:val="26282E"/>
          <w:sz w:val="21"/>
        </w:rPr>
        <w:t xml:space="preserve"> of the United States contrary to the authority thereof, they shall each be fined under this title or imprisoned </w:t>
      </w:r>
      <w:r>
        <w:rPr>
          <w:rFonts w:ascii="EB Garamond" w:hAnsi="EB Garamond" w:cs="EB Garamond"/>
          <w:b/>
          <w:i w:val="0"/>
          <w:color w:val="26282E"/>
          <w:sz w:val="21"/>
        </w:rPr>
        <w:t>not more than twenty years</w:t>
      </w:r>
      <w:r>
        <w:rPr>
          <w:rFonts w:ascii="EB Garamond" w:hAnsi="EB Garamond" w:cs="EB Garamond"/>
          <w:b w:val="0"/>
          <w:i w:val="0"/>
          <w:color w:val="26282E"/>
          <w:sz w:val="21"/>
        </w:rPr>
        <w:t>, or both." (18 U.S.C. § 2384; enacted 1861, ch. 100; current ch. 115.) Elements per standard jury instructions (</w:t>
      </w:r>
      <w:r>
        <w:rPr>
          <w:rFonts w:ascii="EB Garamond" w:hAnsi="EB Garamond" w:cs="EB Garamond"/>
          <w:b w:val="0"/>
          <w:i/>
          <w:color w:val="26282E"/>
          <w:sz w:val="21"/>
        </w:rPr>
        <w:t>U.S. v. Abdel Rahman</w:t>
      </w:r>
      <w:r>
        <w:rPr>
          <w:rFonts w:ascii="EB Garamond" w:hAnsi="EB Garamond" w:cs="EB Garamond"/>
          <w:b w:val="0"/>
          <w:i w:val="0"/>
          <w:color w:val="26282E"/>
          <w:sz w:val="21"/>
        </w:rPr>
        <w:t xml:space="preserve">, S.D.N.Y. 1995; D.D.C. 2022 instructions): (1) two or more persons </w:t>
      </w:r>
      <w:r>
        <w:rPr>
          <w:rFonts w:ascii="EB Garamond" w:hAnsi="EB Garamond" w:cs="EB Garamond"/>
          <w:b/>
          <w:i w:val="0"/>
          <w:color w:val="26282E"/>
          <w:sz w:val="21"/>
        </w:rPr>
        <w:t>agreed</w:t>
      </w:r>
      <w:r>
        <w:rPr>
          <w:rFonts w:ascii="EB Garamond" w:hAnsi="EB Garamond" w:cs="EB Garamond"/>
          <w:b w:val="0"/>
          <w:i w:val="0"/>
          <w:color w:val="26282E"/>
          <w:sz w:val="21"/>
        </w:rPr>
        <w:t xml:space="preserve"> to accomplish one of the statutory objects; (2) the conspiracy was formed or pursued in the U.S. or a place subject to its jurisdiction; (3) the defendant </w:t>
      </w:r>
      <w:r>
        <w:rPr>
          <w:rFonts w:ascii="EB Garamond" w:hAnsi="EB Garamond" w:cs="EB Garamond"/>
          <w:b/>
          <w:i w:val="0"/>
          <w:color w:val="26282E"/>
          <w:sz w:val="21"/>
        </w:rPr>
        <w:t>knowingly joined</w:t>
      </w:r>
      <w:r>
        <w:rPr>
          <w:rFonts w:ascii="EB Garamond" w:hAnsi="EB Garamond" w:cs="EB Garamond"/>
          <w:b w:val="0"/>
          <w:i w:val="0"/>
          <w:color w:val="26282E"/>
          <w:sz w:val="21"/>
        </w:rPr>
        <w:t xml:space="preserve"> with intent to further the unlawful object. </w:t>
      </w:r>
      <w:r>
        <w:rPr>
          <w:rFonts w:ascii="EB Garamond" w:hAnsi="EB Garamond" w:cs="EB Garamond"/>
          <w:b/>
          <w:i w:val="0"/>
          <w:color w:val="26282E"/>
          <w:sz w:val="21"/>
        </w:rPr>
        <w:t>No overt act need be proved</w:t>
      </w:r>
      <w:r>
        <w:rPr>
          <w:rFonts w:ascii="EB Garamond" w:hAnsi="EB Garamond" w:cs="EB Garamond"/>
          <w:b w:val="0"/>
          <w:i w:val="0"/>
          <w:color w:val="26282E"/>
          <w:sz w:val="21"/>
        </w:rPr>
        <w:t xml:space="preserve"> (unlike § 372 or ordinary § 371 conspiracies charged with an overt-act requirement), and </w:t>
      </w:r>
      <w:r>
        <w:rPr>
          <w:rFonts w:ascii="EB Garamond" w:hAnsi="EB Garamond" w:cs="EB Garamond"/>
          <w:b/>
          <w:i w:val="0"/>
          <w:color w:val="26282E"/>
          <w:sz w:val="21"/>
        </w:rPr>
        <w:t>success is irrelevant</w:t>
      </w:r>
      <w:r>
        <w:rPr>
          <w:rFonts w:ascii="EB Garamond" w:hAnsi="EB Garamond" w:cs="EB Garamond"/>
          <w:b w:val="0"/>
          <w:i w:val="0"/>
          <w:color w:val="26282E"/>
          <w:sz w:val="21"/>
        </w:rPr>
        <w:t xml:space="preserve"> — the agreement itself is the crime; force is an ingredient of the object, not of its execution. The statute survives First Amendment challenge because it punishes agreements to use </w:t>
      </w:r>
      <w:r>
        <w:rPr>
          <w:rFonts w:ascii="EB Garamond" w:hAnsi="EB Garamond" w:cs="EB Garamond"/>
          <w:b/>
          <w:i w:val="0"/>
          <w:color w:val="26282E"/>
          <w:sz w:val="21"/>
        </w:rPr>
        <w:t>force</w:t>
      </w:r>
      <w:r>
        <w:rPr>
          <w:rFonts w:ascii="EB Garamond" w:hAnsi="EB Garamond" w:cs="EB Garamond"/>
          <w:b w:val="0"/>
          <w:i w:val="0"/>
          <w:color w:val="26282E"/>
          <w:sz w:val="21"/>
        </w:rPr>
        <w:t>, not advocacy (</w:t>
      </w:r>
      <w:r>
        <w:rPr>
          <w:rFonts w:ascii="EB Garamond" w:hAnsi="EB Garamond" w:cs="EB Garamond"/>
          <w:b w:val="0"/>
          <w:i/>
          <w:color w:val="26282E"/>
          <w:sz w:val="21"/>
        </w:rPr>
        <w:t>United States v. Rahman</w:t>
      </w:r>
      <w:r>
        <w:rPr>
          <w:rFonts w:ascii="EB Garamond" w:hAnsi="EB Garamond" w:cs="EB Garamond"/>
          <w:b w:val="0"/>
          <w:i w:val="0"/>
          <w:color w:val="26282E"/>
          <w:sz w:val="21"/>
        </w:rPr>
        <w:t xml:space="preserve">, 189 F.3d 88, 124–32 (2d Cir. 1999), applying </w:t>
      </w:r>
      <w:r>
        <w:rPr>
          <w:rFonts w:ascii="EB Garamond" w:hAnsi="EB Garamond" w:cs="EB Garamond"/>
          <w:b w:val="0"/>
          <w:i/>
          <w:color w:val="26282E"/>
          <w:sz w:val="21"/>
        </w:rPr>
        <w:t>Brandenburg v. Ohio</w:t>
      </w:r>
      <w:r>
        <w:rPr>
          <w:rFonts w:ascii="EB Garamond" w:hAnsi="EB Garamond" w:cs="EB Garamond"/>
          <w:b w:val="0"/>
          <w:i w:val="0"/>
          <w:color w:val="26282E"/>
          <w:sz w:val="21"/>
        </w:rPr>
        <w:t>); "oppose by force" requires force against the government's authority, not mere opposition to particular officials (</w:t>
      </w:r>
      <w:r>
        <w:rPr>
          <w:rFonts w:ascii="EB Garamond" w:hAnsi="EB Garamond" w:cs="EB Garamond"/>
          <w:b w:val="0"/>
          <w:i/>
          <w:color w:val="26282E"/>
          <w:sz w:val="21"/>
        </w:rPr>
        <w:t>U.S. v. Rodriguez</w:t>
      </w:r>
      <w:r>
        <w:rPr>
          <w:rFonts w:ascii="EB Garamond" w:hAnsi="EB Garamond" w:cs="EB Garamond"/>
          <w:b w:val="0"/>
          <w:i w:val="0"/>
          <w:color w:val="26282E"/>
          <w:sz w:val="21"/>
        </w:rPr>
        <w:t>, 803 F.2d 318 (7th Cir. 1986) — Treason Clause does not limit § 2384).</w:t>
      </w:r>
    </w:p>
    <w:p>
      <w:pPr>
        <w:jc w:val="both"/>
      </w:pPr>
      <w:r>
        <w:rPr>
          <w:rFonts w:ascii="EB Garamond" w:hAnsi="EB Garamond" w:cs="EB Garamond"/>
          <w:b/>
          <w:i w:val="0"/>
          <w:color w:val="26282E"/>
          <w:sz w:val="21"/>
        </w:rPr>
        <w:t>Modern applications.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Rhodes</w:t>
      </w:r>
      <w:r>
        <w:rPr>
          <w:rFonts w:ascii="EB Garamond" w:hAnsi="EB Garamond" w:cs="EB Garamond"/>
          <w:b w:val="0"/>
          <w:i w:val="0"/>
          <w:color w:val="26282E"/>
          <w:sz w:val="21"/>
        </w:rPr>
        <w:t xml:space="preserve"> (Oath Keepers), D.D.C. No. 22-cr-15 (APM).** Nov. 29, 2022: founder</w:t>
      </w:r>
    </w:p>
    <w:p>
      <w:pPr>
        <w:jc w:val="both"/>
      </w:pPr>
      <w:r>
        <w:rPr>
          <w:rFonts w:ascii="EB Garamond" w:hAnsi="EB Garamond" w:cs="EB Garamond"/>
          <w:b w:val="0"/>
          <w:i w:val="0"/>
          <w:color w:val="26282E"/>
          <w:sz w:val="21"/>
        </w:rPr>
        <w:t xml:space="preserve">Stewart Rhodes and Florida chapter leader Kelly Meggs — </w:t>
      </w:r>
      <w:r>
        <w:rPr>
          <w:rFonts w:ascii="EB Garamond" w:hAnsi="EB Garamond" w:cs="EB Garamond"/>
          <w:b/>
          <w:i w:val="0"/>
          <w:color w:val="26282E"/>
          <w:sz w:val="21"/>
        </w:rPr>
        <w:t>first seditious-conspiracy convictions in decades</w:t>
      </w:r>
      <w:r>
        <w:rPr>
          <w:rFonts w:ascii="EB Garamond" w:hAnsi="EB Garamond" w:cs="EB Garamond"/>
          <w:b w:val="0"/>
          <w:i w:val="0"/>
          <w:color w:val="26282E"/>
          <w:sz w:val="21"/>
        </w:rPr>
        <w:t xml:space="preserve"> — plus Harrelson, Watkins, and Caldwell at a second trial; jury special verdict found the objects "to oppose by force the authority of the Government of the United States" and "to use force to prevent, hinder, or delay the execution of any law." Rhodes sentenced to 18 years (Sept. 2023) with a domestic-terrorism enhancement; sentences later partially reduced before the 2025 commutations.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United States v. Tarrio</w:t>
      </w:r>
      <w:r>
        <w:rPr>
          <w:rFonts w:ascii="EB Garamond" w:hAnsi="EB Garamond" w:cs="EB Garamond"/>
          <w:b w:val="0"/>
          <w:i w:val="0"/>
          <w:color w:val="26282E"/>
          <w:sz w:val="21"/>
        </w:rPr>
        <w:t xml:space="preserve"> (Proud Boys), D.D.C. No. 21-cr-175 (TJK).** May 4, 2023: Enrique</w:t>
      </w:r>
    </w:p>
    <w:p>
      <w:pPr>
        <w:jc w:val="both"/>
      </w:pPr>
      <w:r>
        <w:rPr>
          <w:rFonts w:ascii="EB Garamond" w:hAnsi="EB Garamond" w:cs="EB Garamond"/>
          <w:b w:val="0"/>
          <w:i w:val="0"/>
          <w:color w:val="26282E"/>
          <w:sz w:val="21"/>
        </w:rPr>
        <w:t>Tarrio, Ethan Nordean, Joseph Biggs, and Zachary Rehl convicted of seditious conspiracy (Pezzola acquitted of sedition, convicted of other felonies) — the third J6 sedition trial; charges survived dismissal motions (</w:t>
      </w:r>
      <w:r>
        <w:rPr>
          <w:rFonts w:ascii="EB Garamond" w:hAnsi="EB Garamond" w:cs="EB Garamond"/>
          <w:b w:val="0"/>
          <w:i/>
          <w:color w:val="26282E"/>
          <w:sz w:val="21"/>
        </w:rPr>
        <w:t>U.S. v. Nordean</w:t>
      </w:r>
      <w:r>
        <w:rPr>
          <w:rFonts w:ascii="EB Garamond" w:hAnsi="EB Garamond" w:cs="EB Garamond"/>
          <w:b w:val="0"/>
          <w:i w:val="0"/>
          <w:color w:val="26282E"/>
          <w:sz w:val="21"/>
        </w:rPr>
        <w:t xml:space="preserve">, 602 F. Supp. 3d 24 (D.D.C. 2022): the "authority" and "execution" clauses cover conspiracies to obstruct the Twelfth Amendment/Electoral Count Act count </w:t>
      </w:r>
      <w:r>
        <w:rPr>
          <w:rFonts w:ascii="EB Garamond" w:hAnsi="EB Garamond" w:cs="EB Garamond"/>
          <w:b/>
          <w:i w:val="0"/>
          <w:color w:val="26282E"/>
          <w:sz w:val="21"/>
        </w:rPr>
        <w:t>wholesale</w:t>
      </w:r>
      <w:r>
        <w:rPr>
          <w:rFonts w:ascii="EB Garamond" w:hAnsi="EB Garamond" w:cs="EB Garamond"/>
          <w:b w:val="0"/>
          <w:i w:val="0"/>
          <w:color w:val="26282E"/>
          <w:sz w:val="21"/>
        </w:rPr>
        <w:t>, which is effectively their only application).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val="0"/>
          <w:i/>
          <w:color w:val="26282E"/>
          <w:sz w:val="21"/>
        </w:rPr>
        <w:t>Whitmer-kidnapping plot</w:t>
      </w:r>
      <w:r>
        <w:rPr>
          <w:rFonts w:ascii="EB Garamond" w:hAnsi="EB Garamond" w:cs="EB Garamond"/>
          <w:b w:val="0"/>
          <w:i w:val="0"/>
          <w:color w:val="26282E"/>
          <w:sz w:val="21"/>
        </w:rPr>
        <w:t xml:space="preserve"> (2020).** Charged under 18 U.S.C. § 1201(c) (kidnapping conspiracy)</w:t>
      </w:r>
    </w:p>
    <w:p>
      <w:pPr>
        <w:jc w:val="both"/>
      </w:pPr>
      <w:r>
        <w:rPr>
          <w:rFonts w:ascii="EB Garamond" w:hAnsi="EB Garamond" w:cs="EB Garamond"/>
          <w:b w:val="0"/>
          <w:i w:val="0"/>
          <w:color w:val="26282E"/>
          <w:sz w:val="21"/>
        </w:rPr>
        <w:t xml:space="preserve">and § 2332a (WMD) — </w:t>
      </w:r>
      <w:r>
        <w:rPr>
          <w:rFonts w:ascii="EB Garamond" w:hAnsi="EB Garamond" w:cs="EB Garamond"/>
          <w:b/>
          <w:i w:val="0"/>
          <w:color w:val="26282E"/>
          <w:sz w:val="21"/>
        </w:rPr>
        <w:t>not</w:t>
      </w:r>
      <w:r>
        <w:rPr>
          <w:rFonts w:ascii="EB Garamond" w:hAnsi="EB Garamond" w:cs="EB Garamond"/>
          <w:b w:val="0"/>
          <w:i w:val="0"/>
          <w:color w:val="26282E"/>
          <w:sz w:val="21"/>
        </w:rPr>
        <w:t xml:space="preserve"> § 2384, a point exhibits often get wrong. Ty Garbin and Kaleb Franks pleaded guilty; Daniel Harris and Brandon Caserta were </w:t>
      </w:r>
      <w:r>
        <w:rPr>
          <w:rFonts w:ascii="EB Garamond" w:hAnsi="EB Garamond" w:cs="EB Garamond"/>
          <w:b/>
          <w:i w:val="0"/>
          <w:color w:val="26282E"/>
          <w:sz w:val="21"/>
        </w:rPr>
        <w:t>acquitted</w:t>
      </w:r>
      <w:r>
        <w:rPr>
          <w:rFonts w:ascii="EB Garamond" w:hAnsi="EB Garamond" w:cs="EB Garamond"/>
          <w:b w:val="0"/>
          <w:i w:val="0"/>
          <w:color w:val="26282E"/>
          <w:sz w:val="21"/>
        </w:rPr>
        <w:t xml:space="preserve"> (Apr. 8, 2022); Adam Fox and Barry Croft hung at trial one, were convicted at retrial (Aug. 23, 2022; Fox 16 yrs, Croft 19⅔ yrs, affirmed 6th Cir. 2025); separate Michigan state convictions (Bellar, Morrison, Musico) were later overturned on appeal (2026). The plot shows the seditious-agreement pattern without a § 2384 charge.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History/rarity.</w:t>
      </w:r>
      <w:r>
        <w:rPr>
          <w:rFonts w:ascii="EB Garamond" w:hAnsi="EB Garamond" w:cs="EB Garamond"/>
          <w:b w:val="0"/>
          <w:i w:val="0"/>
          <w:color w:val="26282E"/>
          <w:sz w:val="21"/>
        </w:rPr>
        <w:t xml:space="preserve"> Enacted 1861; used against Confederate irregulars and the 1943 </w:t>
      </w:r>
      <w:r>
        <w:rPr>
          <w:rFonts w:ascii="EB Garamond" w:hAnsi="EB Garamond" w:cs="EB Garamond"/>
          <w:b w:val="0"/>
          <w:i/>
          <w:color w:val="26282E"/>
          <w:sz w:val="21"/>
        </w:rPr>
        <w:t>Haupt</w:t>
      </w:r>
    </w:p>
    <w:p>
      <w:pPr>
        <w:jc w:val="both"/>
      </w:pPr>
      <w:r>
        <w:rPr>
          <w:rFonts w:ascii="EB Garamond" w:hAnsi="EB Garamond" w:cs="EB Garamond"/>
          <w:b w:val="0"/>
          <w:i w:val="0"/>
          <w:color w:val="26282E"/>
          <w:sz w:val="21"/>
        </w:rPr>
        <w:t xml:space="preserve">Nazi-sabotage-era prosecutions; ~1950s </w:t>
      </w:r>
      <w:r>
        <w:rPr>
          <w:rFonts w:ascii="EB Garamond" w:hAnsi="EB Garamond" w:cs="EB Garamond"/>
          <w:b w:val="0"/>
          <w:i/>
          <w:color w:val="26282E"/>
          <w:sz w:val="21"/>
        </w:rPr>
        <w:t>Lebron/Rahman</w:t>
      </w:r>
      <w:r>
        <w:rPr>
          <w:rFonts w:ascii="EB Garamond" w:hAnsi="EB Garamond" w:cs="EB Garamond"/>
          <w:b w:val="0"/>
          <w:i w:val="0"/>
          <w:color w:val="26282E"/>
          <w:sz w:val="21"/>
        </w:rPr>
        <w:t xml:space="preserve"> prosecutions; then decades of disuse until January 6 — roughly </w:t>
      </w:r>
      <w:r>
        <w:rPr>
          <w:rFonts w:ascii="EB Garamond" w:hAnsi="EB Garamond" w:cs="EB Garamond"/>
          <w:b/>
          <w:i w:val="0"/>
          <w:color w:val="26282E"/>
          <w:sz w:val="21"/>
        </w:rPr>
        <w:t>a dozen federal defendants total convicted of § 2384</w:t>
      </w:r>
      <w:r>
        <w:rPr>
          <w:rFonts w:ascii="EB Garamond" w:hAnsi="EB Garamond" w:cs="EB Garamond"/>
          <w:b w:val="0"/>
          <w:i w:val="0"/>
          <w:color w:val="26282E"/>
          <w:sz w:val="21"/>
        </w:rPr>
        <w:t xml:space="preserve"> since WWII before the 2022 verdicts. The AP's characterization ("rarely used Civil War-era charge") is the consensus.</w:t>
      </w:r>
    </w:p>
    <w:p>
      <w:pPr>
        <w:keepNext/>
      </w:pPr>
      <w:r>
        <w:rPr>
          <w:rFonts w:ascii="EB Garamond" w:hAnsi="EB Garamond" w:cs="EB Garamond"/>
          <w:b/>
          <w:i w:val="0"/>
          <w:color w:val="B54E1F"/>
          <w:sz w:val="23"/>
        </w:rPr>
        <w:t>2.3 Treason — U.S. Const. art. III, § 3</w:t>
      </w:r>
    </w:p>
    <w:p>
      <w:pPr>
        <w:jc w:val="both"/>
      </w:pPr>
      <w:r>
        <w:rPr>
          <w:rFonts w:ascii="EB Garamond" w:hAnsi="EB Garamond" w:cs="EB Garamond"/>
          <w:b/>
          <w:i w:val="0"/>
          <w:color w:val="26282E"/>
          <w:sz w:val="21"/>
        </w:rPr>
        <w:t>Text.</w:t>
      </w:r>
      <w:r>
        <w:rPr>
          <w:rFonts w:ascii="EB Garamond" w:hAnsi="EB Garamond" w:cs="EB Garamond"/>
          <w:b w:val="0"/>
          <w:i w:val="0"/>
          <w:color w:val="26282E"/>
          <w:sz w:val="21"/>
        </w:rPr>
        <w:t xml:space="preserve"> "Treason against the United States, shall consist </w:t>
      </w:r>
      <w:r>
        <w:rPr>
          <w:rFonts w:ascii="EB Garamond" w:hAnsi="EB Garamond" w:cs="EB Garamond"/>
          <w:b/>
          <w:i w:val="0"/>
          <w:color w:val="26282E"/>
          <w:sz w:val="21"/>
        </w:rPr>
        <w:t>only</w:t>
      </w:r>
      <w:r>
        <w:rPr>
          <w:rFonts w:ascii="EB Garamond" w:hAnsi="EB Garamond" w:cs="EB Garamond"/>
          <w:b w:val="0"/>
          <w:i w:val="0"/>
          <w:color w:val="26282E"/>
          <w:sz w:val="21"/>
        </w:rPr>
        <w:t xml:space="preserve"> in levying War against them, or in adhering to their Enemies, giving them Aid and Comfort. No Person shall be convicted of Treason unless on the </w:t>
      </w:r>
      <w:r>
        <w:rPr>
          <w:rFonts w:ascii="EB Garamond" w:hAnsi="EB Garamond" w:cs="EB Garamond"/>
          <w:b/>
          <w:i w:val="0"/>
          <w:color w:val="26282E"/>
          <w:sz w:val="21"/>
        </w:rPr>
        <w:t>testimony of two Witnesses to the same overt Act</w:t>
      </w:r>
      <w:r>
        <w:rPr>
          <w:rFonts w:ascii="EB Garamond" w:hAnsi="EB Garamond" w:cs="EB Garamond"/>
          <w:b w:val="0"/>
          <w:i w:val="0"/>
          <w:color w:val="26282E"/>
          <w:sz w:val="21"/>
        </w:rPr>
        <w:t xml:space="preserve">, or on </w:t>
      </w:r>
      <w:r>
        <w:rPr>
          <w:rFonts w:ascii="EB Garamond" w:hAnsi="EB Garamond" w:cs="EB Garamond"/>
          <w:b/>
          <w:i w:val="0"/>
          <w:color w:val="26282E"/>
          <w:sz w:val="21"/>
        </w:rPr>
        <w:t>Confession in open Court</w:t>
      </w:r>
      <w:r>
        <w:rPr>
          <w:rFonts w:ascii="EB Garamond" w:hAnsi="EB Garamond" w:cs="EB Garamond"/>
          <w:b w:val="0"/>
          <w:i w:val="0"/>
          <w:color w:val="26282E"/>
          <w:sz w:val="21"/>
        </w:rPr>
        <w:t>. The Congress shall have Power to declare the Punishment of Treason, but no Attainder of Treason shall work Corruption of Blood, or Forfeiture except during the Life of the Person attainted."</w:t>
      </w:r>
    </w:p>
    <w:p>
      <w:pPr>
        <w:jc w:val="both"/>
      </w:pPr>
      <w:r>
        <w:rPr>
          <w:rFonts w:ascii="EB Garamond" w:hAnsi="EB Garamond" w:cs="EB Garamond"/>
          <w:b/>
          <w:i w:val="0"/>
          <w:color w:val="26282E"/>
          <w:sz w:val="21"/>
        </w:rPr>
        <w:t>Verified doctrine.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Constitution </w:t>
      </w:r>
      <w:r>
        <w:rPr>
          <w:rFonts w:ascii="EB Garamond" w:hAnsi="EB Garamond" w:cs="EB Garamond"/>
          <w:b/>
          <w:i w:val="0"/>
          <w:color w:val="26282E"/>
          <w:sz w:val="21"/>
        </w:rPr>
        <w:t>limits</w:t>
      </w:r>
      <w:r>
        <w:rPr>
          <w:rFonts w:ascii="EB Garamond" w:hAnsi="EB Garamond" w:cs="EB Garamond"/>
          <w:b w:val="0"/>
          <w:i w:val="0"/>
          <w:color w:val="26282E"/>
          <w:sz w:val="21"/>
        </w:rPr>
        <w:t xml:space="preserve"> treason; Congress cannot expand it (</w:t>
      </w:r>
      <w:r>
        <w:rPr>
          <w:rFonts w:ascii="EB Garamond" w:hAnsi="EB Garamond" w:cs="EB Garamond"/>
          <w:b w:val="0"/>
          <w:i/>
          <w:color w:val="26282E"/>
          <w:sz w:val="21"/>
        </w:rPr>
        <w:t>Cramer v. United States</w:t>
      </w:r>
      <w:r>
        <w:rPr>
          <w:rFonts w:ascii="EB Garamond" w:hAnsi="EB Garamond" w:cs="EB Garamond"/>
          <w:b w:val="0"/>
          <w:i w:val="0"/>
          <w:color w:val="26282E"/>
          <w:sz w:val="21"/>
        </w:rPr>
        <w:t>, 325</w:t>
      </w:r>
    </w:p>
    <w:p>
      <w:pPr>
        <w:jc w:val="both"/>
      </w:pPr>
      <w:r>
        <w:rPr>
          <w:rFonts w:ascii="EB Garamond" w:hAnsi="EB Garamond" w:cs="EB Garamond"/>
          <w:b w:val="0"/>
          <w:i w:val="0"/>
          <w:color w:val="26282E"/>
          <w:sz w:val="21"/>
        </w:rPr>
        <w:t xml:space="preserve">U.S. 1 (1945) — "the treason paradigm was written to exclude 'constructive' treasons"); conviction requires proof of the defendant's </w:t>
      </w:r>
      <w:r>
        <w:rPr>
          <w:rFonts w:ascii="EB Garamond" w:hAnsi="EB Garamond" w:cs="EB Garamond"/>
          <w:b/>
          <w:i w:val="0"/>
          <w:color w:val="26282E"/>
          <w:sz w:val="21"/>
        </w:rPr>
        <w:t>own</w:t>
      </w:r>
      <w:r>
        <w:rPr>
          <w:rFonts w:ascii="EB Garamond" w:hAnsi="EB Garamond" w:cs="EB Garamond"/>
          <w:b w:val="0"/>
          <w:i w:val="0"/>
          <w:color w:val="26282E"/>
          <w:sz w:val="21"/>
        </w:rPr>
        <w:t xml:space="preserve"> overt act.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Levying war.</w:t>
      </w:r>
      <w:r>
        <w:rPr>
          <w:rFonts w:ascii="EB Garamond" w:hAnsi="EB Garamond" w:cs="EB Garamond"/>
          <w:b w:val="0"/>
          <w:i/>
          <w:color w:val="26282E"/>
          <w:sz w:val="21"/>
        </w:rPr>
        <w:t xml:space="preserve"> </w:t>
      </w:r>
      <w:r>
        <w:rPr>
          <w:rFonts w:ascii="EB Garamond" w:hAnsi="EB Garamond" w:cs="EB Garamond"/>
          <w:b w:val="0"/>
          <w:i w:val="0"/>
          <w:color w:val="26282E"/>
          <w:sz w:val="21"/>
        </w:rPr>
        <w:t>Ex parte Bollman*, 8 U.S. (4 Cranch) 75 (1807) (Marshall, C.J.): assembling</w:t>
      </w:r>
    </w:p>
    <w:p>
      <w:pPr>
        <w:jc w:val="both"/>
      </w:pPr>
      <w:r>
        <w:rPr>
          <w:rFonts w:ascii="EB Garamond" w:hAnsi="EB Garamond" w:cs="EB Garamond"/>
          <w:b w:val="0"/>
          <w:i w:val="0"/>
          <w:color w:val="26282E"/>
          <w:sz w:val="21"/>
        </w:rPr>
        <w:t xml:space="preserve">with intent to overthrow by force can levy war; mere conspiracy to levy war cannot — hence the separate </w:t>
      </w:r>
      <w:r>
        <w:rPr>
          <w:rFonts w:ascii="EB Garamond" w:hAnsi="EB Garamond" w:cs="EB Garamond"/>
          <w:b/>
          <w:i w:val="0"/>
          <w:color w:val="26282E"/>
          <w:sz w:val="21"/>
        </w:rPr>
        <w:t>statutory</w:t>
      </w:r>
      <w:r>
        <w:rPr>
          <w:rFonts w:ascii="EB Garamond" w:hAnsi="EB Garamond" w:cs="EB Garamond"/>
          <w:b w:val="0"/>
          <w:i w:val="0"/>
          <w:color w:val="26282E"/>
          <w:sz w:val="21"/>
        </w:rPr>
        <w:t xml:space="preserve"> crime of seditious conspiracy (§ 2384) to fill the gap.</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w:t>
      </w:r>
      <w:r>
        <w:rPr>
          <w:rFonts w:ascii="EB Garamond" w:hAnsi="EB Garamond" w:cs="EB Garamond"/>
          <w:b/>
          <w:i w:val="0"/>
          <w:color w:val="26282E"/>
          <w:sz w:val="21"/>
        </w:rPr>
        <w:t>Aid and comfort</w:t>
      </w:r>
      <w:r>
        <w:rPr>
          <w:rFonts w:ascii="EB Garamond" w:hAnsi="EB Garamond" w:cs="EB Garamond"/>
          <w:b w:val="0"/>
          <w:i/>
          <w:color w:val="26282E"/>
          <w:sz w:val="21"/>
        </w:rPr>
        <w:t xml:space="preserve"> requires an declared </w:t>
      </w:r>
      <w:r>
        <w:rPr>
          <w:rFonts w:ascii="EB Garamond" w:hAnsi="EB Garamond" w:cs="EB Garamond"/>
          <w:b w:val="0"/>
          <w:i/>
          <w:color w:val="26282E"/>
          <w:sz w:val="21"/>
        </w:rPr>
        <w:t>enemy</w:t>
      </w:r>
      <w:r>
        <w:rPr>
          <w:rFonts w:ascii="EB Garamond" w:hAnsi="EB Garamond" w:cs="EB Garamond"/>
          <w:b w:val="0"/>
          <w:i w:val="0"/>
          <w:color w:val="26282E"/>
          <w:sz w:val="21"/>
        </w:rPr>
        <w:t>* (war or legally recognized enemy) and</w:t>
      </w:r>
    </w:p>
    <w:p>
      <w:pPr>
        <w:jc w:val="both"/>
      </w:pPr>
      <w:r>
        <w:rPr>
          <w:rFonts w:ascii="EB Garamond" w:hAnsi="EB Garamond" w:cs="EB Garamond"/>
          <w:b w:val="0"/>
          <w:i w:val="0"/>
          <w:color w:val="26282E"/>
          <w:sz w:val="21"/>
        </w:rPr>
        <w:t xml:space="preserve">overt acts; </w:t>
      </w:r>
      <w:r>
        <w:rPr>
          <w:rFonts w:ascii="EB Garamond" w:hAnsi="EB Garamond" w:cs="EB Garamond"/>
          <w:b w:val="0"/>
          <w:i/>
          <w:color w:val="26282E"/>
          <w:sz w:val="21"/>
        </w:rPr>
        <w:t>Cramer</w:t>
      </w:r>
      <w:r>
        <w:rPr>
          <w:rFonts w:ascii="EB Garamond" w:hAnsi="EB Garamond" w:cs="EB Garamond"/>
          <w:b w:val="0"/>
          <w:i w:val="0"/>
          <w:color w:val="26282E"/>
          <w:sz w:val="21"/>
        </w:rPr>
        <w:t xml:space="preserve"> and </w:t>
      </w:r>
      <w:r>
        <w:rPr>
          <w:rFonts w:ascii="EB Garamond" w:hAnsi="EB Garamond" w:cs="EB Garamond"/>
          <w:b w:val="0"/>
          <w:i/>
          <w:color w:val="26282E"/>
          <w:sz w:val="21"/>
        </w:rPr>
        <w:t>Kawakita v. United States</w:t>
      </w:r>
      <w:r>
        <w:rPr>
          <w:rFonts w:ascii="EB Garamond" w:hAnsi="EB Garamond" w:cs="EB Garamond"/>
          <w:b w:val="0"/>
          <w:i w:val="0"/>
          <w:color w:val="26282E"/>
          <w:sz w:val="21"/>
        </w:rPr>
        <w:t>, 343 U.S. 717 (1952) mark the outer limits.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Rarity.</w:t>
      </w:r>
      <w:r>
        <w:rPr>
          <w:rFonts w:ascii="EB Garamond" w:hAnsi="EB Garamond" w:cs="EB Garamond"/>
          <w:b w:val="0"/>
          <w:i w:val="0"/>
          <w:color w:val="26282E"/>
          <w:sz w:val="21"/>
        </w:rPr>
        <w:t xml:space="preserve"> Federal treason prosecutions are vanishingly rare — the Supreme Court has decided</w:t>
      </w:r>
    </w:p>
    <w:p>
      <w:pPr>
        <w:jc w:val="both"/>
      </w:pPr>
      <w:r>
        <w:rPr>
          <w:rFonts w:ascii="EB Garamond" w:hAnsi="EB Garamond" w:cs="EB Garamond"/>
          <w:b w:val="0"/>
          <w:i w:val="0"/>
          <w:color w:val="26282E"/>
          <w:sz w:val="21"/>
        </w:rPr>
        <w:t xml:space="preserve">only six treason cases in U.S. history; the last federal conviction was </w:t>
      </w:r>
      <w:r>
        <w:rPr>
          <w:rFonts w:ascii="EB Garamond" w:hAnsi="EB Garamond" w:cs="EB Garamond"/>
          <w:b/>
          <w:i w:val="0"/>
          <w:color w:val="26282E"/>
          <w:sz w:val="21"/>
        </w:rPr>
        <w:t>Tokyo Rose / Iva Toguri D'Aquino (1949)</w:t>
      </w:r>
      <w:r>
        <w:rPr>
          <w:rFonts w:ascii="EB Garamond" w:hAnsi="EB Garamond" w:cs="EB Garamond"/>
          <w:b w:val="0"/>
          <w:i w:val="0"/>
          <w:color w:val="26282E"/>
          <w:sz w:val="21"/>
        </w:rPr>
        <w:t xml:space="preserve"> (pardoned 1977); </w:t>
      </w:r>
      <w:r>
        <w:rPr>
          <w:rFonts w:ascii="EB Garamond" w:hAnsi="EB Garamond" w:cs="EB Garamond"/>
          <w:b w:val="0"/>
          <w:i/>
          <w:color w:val="26282E"/>
          <w:sz w:val="21"/>
        </w:rPr>
        <w:t>Kawakita</w:t>
      </w:r>
      <w:r>
        <w:rPr>
          <w:rFonts w:ascii="EB Garamond" w:hAnsi="EB Garamond" w:cs="EB Garamond"/>
          <w:b w:val="0"/>
          <w:i w:val="0"/>
          <w:color w:val="26282E"/>
          <w:sz w:val="21"/>
        </w:rPr>
        <w:t xml:space="preserve"> (1952) was the last Supreme Court treason case. Modern domestic-extremist violence is prosecuted under § 2384, material-support (18 U.S.C. § 2339A/B), and murder/terrorism statutes — </w:t>
      </w:r>
      <w:r>
        <w:rPr>
          <w:rFonts w:ascii="EB Garamond" w:hAnsi="EB Garamond" w:cs="EB Garamond"/>
          <w:b/>
          <w:i w:val="0"/>
          <w:color w:val="26282E"/>
          <w:sz w:val="21"/>
        </w:rPr>
        <w:t>never</w:t>
      </w:r>
      <w:r>
        <w:rPr>
          <w:rFonts w:ascii="EB Garamond" w:hAnsi="EB Garamond" w:cs="EB Garamond"/>
          <w:b w:val="0"/>
          <w:i w:val="0"/>
          <w:color w:val="26282E"/>
          <w:sz w:val="21"/>
        </w:rPr>
        <w:t xml:space="preserve"> Art. III treason, because of the two-witness rule and the "war" requirement.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Penalty.</w:t>
      </w:r>
      <w:r>
        <w:rPr>
          <w:rFonts w:ascii="EB Garamond" w:hAnsi="EB Garamond" w:cs="EB Garamond"/>
          <w:b w:val="0"/>
          <w:i w:val="0"/>
          <w:color w:val="26282E"/>
          <w:sz w:val="21"/>
        </w:rPr>
        <w:t xml:space="preserve"> Congress set the punishment by statute, 18 U.S.C. § 2381: death, or imprisonment</w:t>
      </w:r>
    </w:p>
    <w:p>
      <w:pPr>
        <w:jc w:val="both"/>
      </w:pPr>
      <w:r>
        <w:rPr>
          <w:rFonts w:ascii="EB Garamond" w:hAnsi="EB Garamond" w:cs="EB Garamond"/>
          <w:b/>
          <w:i w:val="0"/>
          <w:color w:val="26282E"/>
          <w:sz w:val="21"/>
        </w:rPr>
        <w:t>not less than five years</w:t>
      </w:r>
      <w:r>
        <w:rPr>
          <w:rFonts w:ascii="EB Garamond" w:hAnsi="EB Garamond" w:cs="EB Garamond"/>
          <w:b w:val="0"/>
          <w:i w:val="0"/>
          <w:color w:val="26282E"/>
          <w:sz w:val="21"/>
        </w:rPr>
        <w:t xml:space="preserve"> and a fine of at least $10,000, plus incapacity to hold office — the exhibit doc's "Death or minimum 5 years" matches § 2381, and its "only crime defined in the Constitution" line is correct.</w:t>
      </w:r>
    </w:p>
    <w:p>
      <w:pPr>
        <w:keepNext/>
      </w:pPr>
      <w:r>
        <w:rPr>
          <w:rFonts w:ascii="EB Garamond" w:hAnsi="EB Garamond" w:cs="EB Garamond"/>
          <w:b/>
          <w:i w:val="0"/>
          <w:color w:val="B54E1F"/>
          <w:sz w:val="23"/>
        </w:rPr>
        <w:t>2.4 L3C — the low-profit limited liability company (nothing exotic)</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What it is:</w:t>
      </w:r>
      <w:r>
        <w:rPr>
          <w:rFonts w:ascii="EB Garamond" w:hAnsi="EB Garamond" w:cs="EB Garamond"/>
          <w:b w:val="0"/>
          <w:i w:val="0"/>
          <w:color w:val="26282E"/>
          <w:sz w:val="21"/>
        </w:rPr>
        <w:t xml:space="preserve"> an ordinary LLC whose articles must state that its </w:t>
      </w:r>
      <w:r>
        <w:rPr>
          <w:rFonts w:ascii="EB Garamond" w:hAnsi="EB Garamond" w:cs="EB Garamond"/>
          <w:b/>
          <w:i w:val="0"/>
          <w:color w:val="26282E"/>
          <w:sz w:val="21"/>
        </w:rPr>
        <w:t>significant purpose</w:t>
      </w:r>
      <w:r>
        <w:rPr>
          <w:rFonts w:ascii="EB Garamond" w:hAnsi="EB Garamond" w:cs="EB Garamond"/>
          <w:b w:val="0"/>
          <w:i w:val="0"/>
          <w:color w:val="26282E"/>
          <w:sz w:val="21"/>
        </w:rPr>
        <w:t xml:space="preserve"> is one</w:t>
      </w:r>
    </w:p>
    <w:p>
      <w:pPr>
        <w:jc w:val="both"/>
      </w:pPr>
      <w:r>
        <w:rPr>
          <w:rFonts w:ascii="EB Garamond" w:hAnsi="EB Garamond" w:cs="EB Garamond"/>
          <w:b w:val="0"/>
          <w:i w:val="0"/>
          <w:color w:val="26282E"/>
          <w:sz w:val="21"/>
        </w:rPr>
        <w:t xml:space="preserve">or more </w:t>
      </w:r>
      <w:r>
        <w:rPr>
          <w:rFonts w:ascii="EB Garamond" w:hAnsi="EB Garamond" w:cs="EB Garamond"/>
          <w:b/>
          <w:i w:val="0"/>
          <w:color w:val="26282E"/>
          <w:sz w:val="21"/>
        </w:rPr>
        <w:t>charitable or educational purposes</w:t>
      </w:r>
      <w:r>
        <w:rPr>
          <w:rFonts w:ascii="EB Garamond" w:hAnsi="EB Garamond" w:cs="EB Garamond"/>
          <w:b w:val="0"/>
          <w:i w:val="0"/>
          <w:color w:val="26282E"/>
          <w:sz w:val="21"/>
        </w:rPr>
        <w:t xml:space="preserve">, that no other purpose (income/appreciation) is a </w:t>
      </w:r>
      <w:r>
        <w:rPr>
          <w:rFonts w:ascii="EB Garamond" w:hAnsi="EB Garamond" w:cs="EB Garamond"/>
          <w:b/>
          <w:i w:val="0"/>
          <w:color w:val="26282E"/>
          <w:sz w:val="21"/>
        </w:rPr>
        <w:t>significant</w:t>
      </w:r>
      <w:r>
        <w:rPr>
          <w:rFonts w:ascii="EB Garamond" w:hAnsi="EB Garamond" w:cs="EB Garamond"/>
          <w:b w:val="0"/>
          <w:i w:val="0"/>
          <w:color w:val="26282E"/>
          <w:sz w:val="21"/>
        </w:rPr>
        <w:t xml:space="preserve"> purpose, and that it is not formed for political or legislative purposes — tracking </w:t>
      </w:r>
      <w:r>
        <w:rPr>
          <w:rFonts w:ascii="EB Garamond" w:hAnsi="EB Garamond" w:cs="EB Garamond"/>
          <w:b/>
          <w:i w:val="0"/>
          <w:color w:val="26282E"/>
          <w:sz w:val="21"/>
        </w:rPr>
        <w:t>Treas. Reg. § 53.4944-3(b)</w:t>
      </w:r>
      <w:r>
        <w:rPr>
          <w:rFonts w:ascii="EB Garamond" w:hAnsi="EB Garamond" w:cs="EB Garamond"/>
          <w:b w:val="0"/>
          <w:i w:val="0"/>
          <w:color w:val="26282E"/>
          <w:sz w:val="21"/>
        </w:rPr>
        <w:t xml:space="preserve"> (the private-foundation </w:t>
      </w:r>
      <w:r>
        <w:rPr>
          <w:rFonts w:ascii="EB Garamond" w:hAnsi="EB Garamond" w:cs="EB Garamond"/>
          <w:b/>
          <w:i w:val="0"/>
          <w:color w:val="26282E"/>
          <w:sz w:val="21"/>
        </w:rPr>
        <w:t>program-related investment (PRI)</w:t>
      </w:r>
      <w:r>
        <w:rPr>
          <w:rFonts w:ascii="EB Garamond" w:hAnsi="EB Garamond" w:cs="EB Garamond"/>
          <w:b w:val="0"/>
          <w:i w:val="0"/>
          <w:color w:val="26282E"/>
          <w:sz w:val="21"/>
        </w:rPr>
        <w:t xml:space="preserve"> test, stemming from the Tax Reform Act of 1969's 5% payout regime). Members keep LLC limited liability; the entity is </w:t>
      </w:r>
      <w:r>
        <w:rPr>
          <w:rFonts w:ascii="EB Garamond" w:hAnsi="EB Garamond" w:cs="EB Garamond"/>
          <w:b/>
          <w:i w:val="0"/>
          <w:color w:val="26282E"/>
          <w:sz w:val="21"/>
        </w:rPr>
        <w:t>taxed like any LLC</w:t>
      </w:r>
      <w:r>
        <w:rPr>
          <w:rFonts w:ascii="EB Garamond" w:hAnsi="EB Garamond" w:cs="EB Garamond"/>
          <w:b w:val="0"/>
          <w:i w:val="0"/>
          <w:color w:val="26282E"/>
          <w:sz w:val="21"/>
        </w:rPr>
        <w:t xml:space="preserve"> (pass-through by default; C- or S-election available); it is </w:t>
      </w:r>
      <w:r>
        <w:rPr>
          <w:rFonts w:ascii="EB Garamond" w:hAnsi="EB Garamond" w:cs="EB Garamond"/>
          <w:b/>
          <w:i w:val="0"/>
          <w:color w:val="26282E"/>
          <w:sz w:val="21"/>
        </w:rPr>
        <w:t>not</w:t>
      </w:r>
      <w:r>
        <w:rPr>
          <w:rFonts w:ascii="EB Garamond" w:hAnsi="EB Garamond" w:cs="EB Garamond"/>
          <w:b w:val="0"/>
          <w:i w:val="0"/>
          <w:color w:val="26282E"/>
          <w:sz w:val="21"/>
        </w:rPr>
        <w:t xml:space="preserve"> tax-exempt.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Origin:</w:t>
      </w:r>
      <w:r>
        <w:rPr>
          <w:rFonts w:ascii="EB Garamond" w:hAnsi="EB Garamond" w:cs="EB Garamond"/>
          <w:b w:val="0"/>
          <w:i w:val="0"/>
          <w:color w:val="26282E"/>
          <w:sz w:val="21"/>
        </w:rPr>
        <w:t xml:space="preserve"> conceived by </w:t>
      </w:r>
      <w:r>
        <w:rPr>
          <w:rFonts w:ascii="EB Garamond" w:hAnsi="EB Garamond" w:cs="EB Garamond"/>
          <w:b/>
          <w:i w:val="0"/>
          <w:color w:val="26282E"/>
          <w:sz w:val="21"/>
        </w:rPr>
        <w:t>Robert M. Lang, Jr.</w:t>
      </w:r>
      <w:r>
        <w:rPr>
          <w:rFonts w:ascii="EB Garamond" w:hAnsi="EB Garamond" w:cs="EB Garamond"/>
          <w:b w:val="0"/>
          <w:i w:val="0"/>
          <w:color w:val="26282E"/>
          <w:sz w:val="21"/>
        </w:rPr>
        <w:t xml:space="preserve"> (Mary Elizabeth &amp; Gordon B. Lang Foundation,</w:t>
      </w:r>
    </w:p>
    <w:p>
      <w:pPr>
        <w:jc w:val="both"/>
      </w:pPr>
      <w:r>
        <w:rPr>
          <w:rFonts w:ascii="EB Garamond" w:hAnsi="EB Garamond" w:cs="EB Garamond"/>
          <w:b w:val="0"/>
          <w:i w:val="0"/>
          <w:color w:val="26282E"/>
          <w:sz w:val="21"/>
        </w:rPr>
        <w:t xml:space="preserve">NY) with the Americans for Community Co-operation; first statute </w:t>
      </w:r>
      <w:r>
        <w:rPr>
          <w:rFonts w:ascii="EB Garamond" w:hAnsi="EB Garamond" w:cs="EB Garamond"/>
          <w:b/>
          <w:i w:val="0"/>
          <w:color w:val="26282E"/>
          <w:sz w:val="21"/>
        </w:rPr>
        <w:t>Vermont, April/May 2008</w:t>
      </w:r>
      <w:r>
        <w:rPr>
          <w:rFonts w:ascii="EB Garamond" w:hAnsi="EB Garamond" w:cs="EB Garamond"/>
          <w:b w:val="0"/>
          <w:i w:val="0"/>
          <w:color w:val="26282E"/>
          <w:sz w:val="21"/>
        </w:rPr>
        <w:t xml:space="preserve"> (Vt. Stat. Ann. tit. 11, §§ 3001(2)(C), 3312), followed by Michigan (2008), Wyoming, Utah, Illinois (2009), North Carolina (2010), Louisiana, Maine, North Dakota, Rhode Island, Missouri, and the Crow Tribe of Montana and Oglala Sioux Tribe (tribal codes); Puerto Rico also enacted. </w:t>
      </w:r>
      <w:r>
        <w:rPr>
          <w:rFonts w:ascii="EB Garamond" w:hAnsi="EB Garamond" w:cs="EB Garamond"/>
          <w:b/>
          <w:i w:val="0"/>
          <w:color w:val="26282E"/>
          <w:sz w:val="21"/>
        </w:rPr>
        <w:t>North Carolina repealed</w:t>
      </w:r>
      <w:r>
        <w:rPr>
          <w:rFonts w:ascii="EB Garamond" w:hAnsi="EB Garamond" w:cs="EB Garamond"/>
          <w:b w:val="0"/>
          <w:i w:val="0"/>
          <w:color w:val="26282E"/>
          <w:sz w:val="21"/>
        </w:rPr>
        <w:t xml:space="preserve"> retroactively effective Jan. 1, 2014. Adoption peaked around a dozen-plus jurisdictions; the doc's state list matches this record.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IRS has never certified the form.</w:t>
      </w:r>
      <w:r>
        <w:rPr>
          <w:rFonts w:ascii="EB Garamond" w:hAnsi="EB Garamond" w:cs="EB Garamond"/>
          <w:b w:val="0"/>
          <w:i w:val="0"/>
          <w:color w:val="26282E"/>
          <w:sz w:val="21"/>
        </w:rPr>
        <w:t xml:space="preserve"> The IRS declined to issue blanket guidance that every</w:t>
      </w:r>
    </w:p>
    <w:p>
      <w:pPr>
        <w:jc w:val="both"/>
      </w:pPr>
      <w:r>
        <w:rPr>
          <w:rFonts w:ascii="EB Garamond" w:hAnsi="EB Garamond" w:cs="EB Garamond"/>
          <w:b w:val="0"/>
          <w:i w:val="0"/>
          <w:color w:val="26282E"/>
          <w:sz w:val="21"/>
        </w:rPr>
        <w:t xml:space="preserve">L3C automatically qualifies as a PRI recipient; any particular investment is tested case-by-case, and foundations commonly seek a costly </w:t>
      </w:r>
      <w:r>
        <w:rPr>
          <w:rFonts w:ascii="EB Garamond" w:hAnsi="EB Garamond" w:cs="EB Garamond"/>
          <w:b/>
          <w:i w:val="0"/>
          <w:color w:val="26282E"/>
          <w:sz w:val="21"/>
        </w:rPr>
        <w:t>private letter ruling</w:t>
      </w:r>
      <w:r>
        <w:rPr>
          <w:rFonts w:ascii="EB Garamond" w:hAnsi="EB Garamond" w:cs="EB Garamond"/>
          <w:b w:val="0"/>
          <w:i w:val="0"/>
          <w:color w:val="26282E"/>
          <w:sz w:val="21"/>
        </w:rPr>
        <w:t xml:space="preserve"> (often cited at $25–50k+ and 12–18 months). This uncertainty — plus profit-motivated investors' resistance to the "no significant profit purpose" cap — is why the form never scaled (≈711 L3Cs in 2013; ≈ 1,700 by 2020, per the doc's own figures, citing the L3C ecosystem surveys). Nothing about an L3C affects </w:t>
      </w:r>
      <w:r>
        <w:rPr>
          <w:rFonts w:ascii="EB Garamond" w:hAnsi="EB Garamond" w:cs="EB Garamond"/>
          <w:b/>
          <w:i w:val="0"/>
          <w:color w:val="26282E"/>
          <w:sz w:val="21"/>
        </w:rPr>
        <w:t>personal</w:t>
      </w:r>
      <w:r>
        <w:rPr>
          <w:rFonts w:ascii="EB Garamond" w:hAnsi="EB Garamond" w:cs="EB Garamond"/>
          <w:b w:val="0"/>
          <w:i w:val="0"/>
          <w:color w:val="26282E"/>
          <w:sz w:val="21"/>
        </w:rPr>
        <w:t xml:space="preserve"> legal obligations: it confers no sovereignty, no tax immunity, and no exemption from state law. Forming one does not separate a natural person from statutes.</w:t>
      </w:r>
    </w:p>
    <w:p>
      <w:pPr>
        <w:pBdr>
          <w:bottom w:val="single" w:sz="6" w:space="1" w:color="B9975B"/>
        </w:pBdr>
      </w:pPr>
    </w:p>
    <w:p>
      <w:pPr>
        <w:keepNext/>
        <w:spacing w:before="240"/>
      </w:pPr>
      <w:r>
        <w:rPr>
          <w:rFonts w:ascii="EB Garamond" w:hAnsi="EB Garamond" w:cs="EB Garamond"/>
          <w:b/>
          <w:i w:val="0"/>
          <w:color w:val="1B2A41"/>
          <w:sz w:val="28"/>
        </w:rPr>
        <w:t>3. CORRECTIONS — specific statements that are legally wrong</w:t>
      </w:r>
    </w:p>
    <w:p>
      <w:pPr>
        <w:jc w:val="both"/>
      </w:pPr>
      <w:r>
        <w:rPr>
          <w:rFonts w:ascii="EB Garamond" w:hAnsi="EB Garamond" w:cs="EB Garamond"/>
          <w:b w:val="0"/>
          <w:i w:val="0"/>
          <w:color w:val="26282E"/>
          <w:sz w:val="21"/>
        </w:rPr>
        <w:t xml:space="preserve">Each item: </w:t>
      </w:r>
      <w:r>
        <w:rPr>
          <w:rFonts w:ascii="EB Garamond" w:hAnsi="EB Garamond" w:cs="EB Garamond"/>
          <w:b/>
          <w:i w:val="0"/>
          <w:color w:val="26282E"/>
          <w:sz w:val="21"/>
        </w:rPr>
        <w:t>doc claim → correct rule + citation.</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"The U.S. Secretary of State is the 'Archivist' of legal titles of 'The People' … Beneficiaries of the Estate Trust" (DISCLAIMER l.9).</w:t>
      </w:r>
      <w:r>
        <w:rPr>
          <w:rFonts w:ascii="EB Garamond" w:hAnsi="EB Garamond" w:cs="EB Garamond"/>
          <w:b w:val="0"/>
          <w:i w:val="0"/>
          <w:color w:val="26282E"/>
          <w:sz w:val="21"/>
        </w:rPr>
        <w:t xml:space="preserve"> No such office or trust exists. The Archivist of the United States heads the National Archives and Records Administration (44 U.S.C. § 2102) and holds </w:t>
      </w:r>
      <w:r>
        <w:rPr>
          <w:rFonts w:ascii="EB Garamond" w:hAnsi="EB Garamond" w:cs="EB Garamond"/>
          <w:b/>
          <w:i w:val="0"/>
          <w:color w:val="26282E"/>
          <w:sz w:val="21"/>
        </w:rPr>
        <w:t>government records</w:t>
      </w:r>
      <w:r>
        <w:rPr>
          <w:rFonts w:ascii="EB Garamond" w:hAnsi="EB Garamond" w:cs="EB Garamond"/>
          <w:b w:val="0"/>
          <w:i w:val="0"/>
          <w:color w:val="26282E"/>
          <w:sz w:val="21"/>
        </w:rPr>
        <w:t xml:space="preserve">, not titles on behalf of citizens. Individuals are not beneficiaries of any federal "Estate Trust." Listed sovereign-citizen mythology (FBI LEB 2011; dismissed as frivolous in </w:t>
      </w:r>
      <w:r>
        <w:rPr>
          <w:rFonts w:ascii="EB Garamond" w:hAnsi="EB Garamond" w:cs="EB Garamond"/>
          <w:b w:val="0"/>
          <w:i/>
          <w:color w:val="26282E"/>
          <w:sz w:val="21"/>
        </w:rPr>
        <w:t>Marcantel</w:t>
      </w:r>
      <w:r>
        <w:rPr>
          <w:rFonts w:ascii="EB Garamond" w:hAnsi="EB Garamond" w:cs="EB Garamond"/>
          <w:b w:val="0"/>
          <w:i w:val="0"/>
          <w:color w:val="26282E"/>
          <w:sz w:val="21"/>
        </w:rPr>
        <w:t xml:space="preserve"> (M.D. La. 2023)).</w:t>
      </w:r>
    </w:p>
    <w:p>
      <w:pPr>
        <w:jc w:val="both"/>
      </w:pPr>
      <w:r>
        <w:rPr>
          <w:rFonts w:ascii="EB Garamond" w:hAnsi="EB Garamond" w:cs="EB Garamond"/>
          <w:b w:val="0"/>
          <w:i w:val="0"/>
          <w:color w:val="26282E"/>
          <w:sz w:val="21"/>
        </w:rPr>
        <w:t xml:space="preserve">2. </w:t>
      </w:r>
      <w:r>
        <w:rPr>
          <w:rFonts w:ascii="EB Garamond" w:hAnsi="EB Garamond" w:cs="EB Garamond"/>
          <w:b/>
          <w:i w:val="0"/>
          <w:color w:val="26282E"/>
          <w:sz w:val="21"/>
        </w:rPr>
        <w:t>"I am a Foreign Sovereign … owed The Law of Peace, pursuant to Department of the Army Pamphlet 27-161-1, from all Territorial and Municipal Officers" (l.13).</w:t>
      </w:r>
      <w:r>
        <w:rPr>
          <w:rFonts w:ascii="EB Garamond" w:hAnsi="EB Garamond" w:cs="EB Garamond"/>
          <w:b w:val="0"/>
          <w:i w:val="0"/>
          <w:color w:val="26282E"/>
          <w:sz w:val="21"/>
        </w:rPr>
        <w:t xml:space="preserve"> DA Pam 27-161-1, </w:t>
      </w:r>
      <w:r>
        <w:rPr>
          <w:rFonts w:ascii="EB Garamond" w:hAnsi="EB Garamond" w:cs="EB Garamond"/>
          <w:b w:val="0"/>
          <w:i/>
          <w:color w:val="26282E"/>
          <w:sz w:val="21"/>
        </w:rPr>
        <w:t>International Law, Vol. I: The Law of Peace</w:t>
      </w:r>
      <w:r>
        <w:rPr>
          <w:rFonts w:ascii="EB Garamond" w:hAnsi="EB Garamond" w:cs="EB Garamond"/>
          <w:b w:val="0"/>
          <w:i w:val="0"/>
          <w:color w:val="26282E"/>
          <w:sz w:val="21"/>
        </w:rPr>
        <w:t xml:space="preserve"> (1979), is an internal DoD treatise on the law-of-peace aspects of </w:t>
      </w:r>
      <w:r>
        <w:rPr>
          <w:rFonts w:ascii="EB Garamond" w:hAnsi="EB Garamond" w:cs="EB Garamond"/>
          <w:b/>
          <w:i w:val="0"/>
          <w:color w:val="26282E"/>
          <w:sz w:val="21"/>
        </w:rPr>
        <w:t>military foreign affairs</w:t>
      </w:r>
      <w:r>
        <w:rPr>
          <w:rFonts w:ascii="EB Garamond" w:hAnsi="EB Garamond" w:cs="EB Garamond"/>
          <w:b w:val="0"/>
          <w:i w:val="0"/>
          <w:color w:val="26282E"/>
          <w:sz w:val="21"/>
        </w:rPr>
        <w:t xml:space="preserve">; it grants no status, immunity, or right to civilians, and no court has ever recognized such a claim. U.S. persons remain fully subject to federal and state law (Fourteenth Amendment; </w:t>
      </w:r>
      <w:r>
        <w:rPr>
          <w:rFonts w:ascii="EB Garamond" w:hAnsi="EB Garamond" w:cs="EB Garamond"/>
          <w:b w:val="0"/>
          <w:i/>
          <w:color w:val="26282E"/>
          <w:sz w:val="21"/>
        </w:rPr>
        <w:t>Afroyim v. Rusk</w:t>
      </w:r>
      <w:r>
        <w:rPr>
          <w:rFonts w:ascii="EB Garamond" w:hAnsi="EB Garamond" w:cs="EB Garamond"/>
          <w:b w:val="0"/>
          <w:i w:val="0"/>
          <w:color w:val="26282E"/>
          <w:sz w:val="21"/>
        </w:rPr>
        <w:t>, 387 U.S. 253 (1967), on the indissolubility of citizenship absent voluntary renunciation under 8 U.S.C. § 1481(a)).</w:t>
      </w:r>
    </w:p>
    <w:p>
      <w:pPr>
        <w:jc w:val="both"/>
      </w:pPr>
      <w:r>
        <w:rPr>
          <w:rFonts w:ascii="EB Garamond" w:hAnsi="EB Garamond" w:cs="EB Garamond"/>
          <w:b w:val="0"/>
          <w:i w:val="0"/>
          <w:color w:val="26282E"/>
          <w:sz w:val="21"/>
        </w:rPr>
        <w:t xml:space="preserve">3. </w:t>
      </w:r>
      <w:r>
        <w:rPr>
          <w:rFonts w:ascii="EB Garamond" w:hAnsi="EB Garamond" w:cs="EB Garamond"/>
          <w:b/>
          <w:i w:val="0"/>
          <w:color w:val="26282E"/>
          <w:sz w:val="21"/>
        </w:rPr>
        <w:t>"…damages pursuant to 18 U.S.C. 2333, 18 U.S.C. 1341 and 1342" (l.15).</w:t>
      </w:r>
      <w:r>
        <w:rPr>
          <w:rFonts w:ascii="EB Garamond" w:hAnsi="EB Garamond" w:cs="EB Garamond"/>
          <w:b w:val="0"/>
          <w:i w:val="0"/>
          <w:color w:val="26282E"/>
          <w:sz w:val="21"/>
        </w:rPr>
        <w:t xml:space="preserve"> § 2333(b) provides a civil action only for </w:t>
      </w:r>
      <w:r>
        <w:rPr>
          <w:rFonts w:ascii="EB Garamond" w:hAnsi="EB Garamond" w:cs="EB Garamond"/>
          <w:b/>
          <w:i w:val="0"/>
          <w:color w:val="26282E"/>
          <w:sz w:val="21"/>
        </w:rPr>
        <w:t>U.S. nationals injured by international terrorism</w:t>
      </w:r>
      <w:r>
        <w:rPr>
          <w:rFonts w:ascii="EB Garamond" w:hAnsi="EB Garamond" w:cs="EB Garamond"/>
          <w:b w:val="0"/>
          <w:i w:val="0"/>
          <w:color w:val="26282E"/>
          <w:sz w:val="21"/>
        </w:rPr>
        <w:t xml:space="preserve"> (and 2018's § 2333(d) targets financiers of terrorism); §§ 1341–1342 criminalize mail fraud and postal obstruction — none creates a tax-refund or "trespass" damages action. Correct vehicle for a takings claim against the U.S.: the </w:t>
      </w:r>
      <w:r>
        <w:rPr>
          <w:rFonts w:ascii="EB Garamond" w:hAnsi="EB Garamond" w:cs="EB Garamond"/>
          <w:b/>
          <w:i w:val="0"/>
          <w:color w:val="26282E"/>
          <w:sz w:val="21"/>
        </w:rPr>
        <w:t>Tucker Act</w:t>
      </w:r>
      <w:r>
        <w:rPr>
          <w:rFonts w:ascii="EB Garamond" w:hAnsi="EB Garamond" w:cs="EB Garamond"/>
          <w:b w:val="0"/>
          <w:i w:val="0"/>
          <w:color w:val="26282E"/>
          <w:sz w:val="21"/>
        </w:rPr>
        <w:t>, 28 U.S.C. § 1491, in the Court of Federal Claims.</w:t>
      </w:r>
    </w:p>
    <w:p>
      <w:pPr>
        <w:jc w:val="both"/>
      </w:pPr>
      <w:r>
        <w:rPr>
          <w:rFonts w:ascii="EB Garamond" w:hAnsi="EB Garamond" w:cs="EB Garamond"/>
          <w:b w:val="0"/>
          <w:i w:val="0"/>
          <w:color w:val="26282E"/>
          <w:sz w:val="21"/>
        </w:rPr>
        <w:t xml:space="preserve">4. </w:t>
      </w:r>
      <w:r>
        <w:rPr>
          <w:rFonts w:ascii="EB Garamond" w:hAnsi="EB Garamond" w:cs="EB Garamond"/>
          <w:b/>
          <w:i w:val="0"/>
          <w:color w:val="26282E"/>
          <w:sz w:val="21"/>
        </w:rPr>
        <w:t>"…sue the United States … a course of action which will never provide remedy because the United States is bankrupt" (l.49).</w:t>
      </w:r>
      <w:r>
        <w:rPr>
          <w:rFonts w:ascii="EB Garamond" w:hAnsi="EB Garamond" w:cs="EB Garamond"/>
          <w:b w:val="0"/>
          <w:i w:val="0"/>
          <w:color w:val="26282E"/>
          <w:sz w:val="21"/>
        </w:rPr>
        <w:t xml:space="preserve"> False. The U.S. is not bankrupt and pays judgments: Court of Federal Claims judgments are paid from the Judgment Fund (31 U.S.C. § 1304). The "US is bankrupt/1933" theory is uniformly rejected (e.g., sovCit-dismissal case law collected in </w:t>
      </w:r>
      <w:r>
        <w:rPr>
          <w:rFonts w:ascii="EB Garamond" w:hAnsi="EB Garamond" w:cs="EB Garamond"/>
          <w:b w:val="0"/>
          <w:i/>
          <w:color w:val="26282E"/>
          <w:sz w:val="21"/>
        </w:rPr>
        <w:t>Marcantel</w:t>
      </w:r>
      <w:r>
        <w:rPr>
          <w:rFonts w:ascii="EB Garamond" w:hAnsi="EB Garamond" w:cs="EB Garamond"/>
          <w:b w:val="0"/>
          <w:i w:val="0"/>
          <w:color w:val="26282E"/>
          <w:sz w:val="21"/>
        </w:rPr>
        <w:t>).</w:t>
      </w:r>
    </w:p>
    <w:p>
      <w:pPr>
        <w:jc w:val="both"/>
      </w:pPr>
      <w:r>
        <w:rPr>
          <w:rFonts w:ascii="EB Garamond" w:hAnsi="EB Garamond" w:cs="EB Garamond"/>
          <w:b w:val="0"/>
          <w:i w:val="0"/>
          <w:color w:val="26282E"/>
          <w:sz w:val="21"/>
        </w:rPr>
        <w:t xml:space="preserve">5. </w:t>
      </w:r>
      <w:r>
        <w:rPr>
          <w:rFonts w:ascii="EB Garamond" w:hAnsi="EB Garamond" w:cs="EB Garamond"/>
          <w:b/>
          <w:i w:val="0"/>
          <w:color w:val="26282E"/>
          <w:sz w:val="21"/>
        </w:rPr>
        <w:t>"In the United States, a 'person' is defined as a 'foreign state' and owner of a vessel, and an 'individual' is defined as an artificial 'federally chartered entity'" (l.51).</w:t>
      </w:r>
      <w:r>
        <w:rPr>
          <w:rFonts w:ascii="EB Garamond" w:hAnsi="EB Garamond" w:cs="EB Garamond"/>
          <w:b w:val="0"/>
          <w:i w:val="0"/>
          <w:color w:val="26282E"/>
          <w:sz w:val="21"/>
        </w:rPr>
        <w:t xml:space="preserve"> Inverted and fabricated. 1 U.S.C. § 1: "person" and "whoever" "include corporations, companies, associations, firms, partnerships, societies, and joint stock companies, as well as </w:t>
      </w:r>
      <w:r>
        <w:rPr>
          <w:rFonts w:ascii="EB Garamond" w:hAnsi="EB Garamond" w:cs="EB Garamond"/>
          <w:b/>
          <w:i w:val="0"/>
          <w:color w:val="26282E"/>
          <w:sz w:val="21"/>
        </w:rPr>
        <w:t>individuals</w:t>
      </w:r>
      <w:r>
        <w:rPr>
          <w:rFonts w:ascii="EB Garamond" w:hAnsi="EB Garamond" w:cs="EB Garamond"/>
          <w:b w:val="0"/>
          <w:i w:val="0"/>
          <w:color w:val="26282E"/>
          <w:sz w:val="21"/>
        </w:rPr>
        <w:t>." No federal statute defines "individual" as a corporation.</w:t>
      </w:r>
    </w:p>
    <w:p>
      <w:pPr>
        <w:jc w:val="both"/>
      </w:pPr>
      <w:r>
        <w:rPr>
          <w:rFonts w:ascii="EB Garamond" w:hAnsi="EB Garamond" w:cs="EB Garamond"/>
          <w:b w:val="0"/>
          <w:i w:val="0"/>
          <w:color w:val="26282E"/>
          <w:sz w:val="21"/>
        </w:rPr>
        <w:t xml:space="preserve">6. </w:t>
      </w:r>
      <w:r>
        <w:rPr>
          <w:rFonts w:ascii="EB Garamond" w:hAnsi="EB Garamond" w:cs="EB Garamond"/>
          <w:b/>
          <w:i w:val="0"/>
          <w:color w:val="26282E"/>
          <w:sz w:val="21"/>
        </w:rPr>
        <w:t>"National banking associations do not have regulatory authority to file liens in the several U.S. States; as is also the case for the Internal Revenue Service" (l.59).</w:t>
      </w:r>
      <w:r>
        <w:rPr>
          <w:rFonts w:ascii="EB Garamond" w:hAnsi="EB Garamond" w:cs="EB Garamond"/>
          <w:b w:val="0"/>
          <w:i w:val="0"/>
          <w:color w:val="26282E"/>
          <w:sz w:val="21"/>
        </w:rPr>
        <w:t xml:space="preserve"> The IRS files </w:t>
      </w:r>
      <w:r>
        <w:rPr>
          <w:rFonts w:ascii="EB Garamond" w:hAnsi="EB Garamond" w:cs="EB Garamond"/>
          <w:b/>
          <w:i w:val="0"/>
          <w:color w:val="26282E"/>
          <w:sz w:val="21"/>
        </w:rPr>
        <w:t>notices of federal tax lien</w:t>
      </w:r>
      <w:r>
        <w:rPr>
          <w:rFonts w:ascii="EB Garamond" w:hAnsi="EB Garamond" w:cs="EB Garamond"/>
          <w:b w:val="0"/>
          <w:i w:val="0"/>
          <w:color w:val="26282E"/>
          <w:sz w:val="21"/>
        </w:rPr>
        <w:t xml:space="preserve"> in state recording offices as a matter of routine law: 26 U.S.C. § 6321 (lien arises), § 6323 (perfection by filing), § 6323(f) (place of filing — state or federal). Banking regulators have independent lien/supervisory powers (12 U.S.C. § 1821(d)).</w:t>
      </w:r>
    </w:p>
    <w:p>
      <w:pPr>
        <w:jc w:val="both"/>
      </w:pPr>
      <w:r>
        <w:rPr>
          <w:rFonts w:ascii="EB Garamond" w:hAnsi="EB Garamond" w:cs="EB Garamond"/>
          <w:b w:val="0"/>
          <w:i w:val="0"/>
          <w:color w:val="26282E"/>
          <w:sz w:val="21"/>
        </w:rPr>
        <w:t xml:space="preserve">7. </w:t>
      </w:r>
      <w:r>
        <w:rPr>
          <w:rFonts w:ascii="EB Garamond" w:hAnsi="EB Garamond" w:cs="EB Garamond"/>
          <w:b/>
          <w:i w:val="0"/>
          <w:color w:val="26282E"/>
          <w:sz w:val="21"/>
        </w:rPr>
        <w:t>"IRS … delinquent taxes … are counterfeiting securities of the United States" (l.61).</w:t>
      </w:r>
      <w:r>
        <w:rPr>
          <w:rFonts w:ascii="EB Garamond" w:hAnsi="EB Garamond" w:cs="EB Garamond"/>
          <w:b w:val="0"/>
          <w:i w:val="0"/>
          <w:color w:val="26282E"/>
          <w:sz w:val="21"/>
        </w:rPr>
        <w:t xml:space="preserve"> False, and self-defeating: counterfeiting "securities of the United States" is itself a crime (18 U.S.C. § 471 et seq.); IRS assessments, liens, and levies are lawful exercises of Subtitle F, 26 U.S.C. §§ 6201, 6321, 6331.</w:t>
      </w:r>
    </w:p>
    <w:p>
      <w:pPr>
        <w:jc w:val="both"/>
      </w:pPr>
      <w:r>
        <w:rPr>
          <w:rFonts w:ascii="EB Garamond" w:hAnsi="EB Garamond" w:cs="EB Garamond"/>
          <w:b w:val="0"/>
          <w:i w:val="0"/>
          <w:color w:val="26282E"/>
          <w:sz w:val="21"/>
        </w:rPr>
        <w:t xml:space="preserve">8. </w:t>
      </w:r>
      <w:r>
        <w:rPr>
          <w:rFonts w:ascii="EB Garamond" w:hAnsi="EB Garamond" w:cs="EB Garamond"/>
          <w:b/>
          <w:i w:val="0"/>
          <w:color w:val="26282E"/>
          <w:sz w:val="21"/>
        </w:rPr>
        <w:t>"…Georgia lost an island in the Savannah River to South Carolina in 1990, when South Carolina had used fill from dredging … Since Georgia knew of this yet did nothing … the U.S. Supreme Court … granted this land to South Carolina" (Squatting doc l.151).</w:t>
      </w:r>
      <w:r>
        <w:rPr>
          <w:rFonts w:ascii="EB Garamond" w:hAnsi="EB Garamond" w:cs="EB Garamond"/>
          <w:b w:val="0"/>
          <w:i w:val="0"/>
          <w:color w:val="26282E"/>
          <w:sz w:val="21"/>
        </w:rPr>
        <w:t xml:space="preserve"> Wrong in mechanism. </w:t>
      </w:r>
      <w:r>
        <w:rPr>
          <w:rFonts w:ascii="EB Garamond" w:hAnsi="EB Garamond" w:cs="EB Garamond"/>
          <w:b w:val="0"/>
          <w:i/>
          <w:color w:val="26282E"/>
          <w:sz w:val="21"/>
        </w:rPr>
        <w:t>Georgia v. South Carolina</w:t>
      </w:r>
      <w:r>
        <w:rPr>
          <w:rFonts w:ascii="EB Garamond" w:hAnsi="EB Garamond" w:cs="EB Garamond"/>
          <w:b w:val="0"/>
          <w:i w:val="0"/>
          <w:color w:val="26282E"/>
          <w:sz w:val="21"/>
        </w:rPr>
        <w:t xml:space="preserve">, 497 U.S. 376 (1990) awarded the </w:t>
      </w:r>
      <w:r>
        <w:rPr>
          <w:rFonts w:ascii="EB Garamond" w:hAnsi="EB Garamond" w:cs="EB Garamond"/>
          <w:b/>
          <w:i w:val="0"/>
          <w:color w:val="26282E"/>
          <w:sz w:val="21"/>
        </w:rPr>
        <w:t>Barnwell Islands to South Carolina</w:t>
      </w:r>
      <w:r>
        <w:rPr>
          <w:rFonts w:ascii="EB Garamond" w:hAnsi="EB Garamond" w:cs="EB Garamond"/>
          <w:b w:val="0"/>
          <w:i w:val="0"/>
          <w:color w:val="26282E"/>
          <w:sz w:val="21"/>
        </w:rPr>
        <w:t xml:space="preserve"> based on South Carolina's long exercise of sovereignty (taxing, policing, prosecuting there) — i.e., </w:t>
      </w:r>
      <w:r>
        <w:rPr>
          <w:rFonts w:ascii="EB Garamond" w:hAnsi="EB Garamond" w:cs="EB Garamond"/>
          <w:b/>
          <w:i w:val="0"/>
          <w:color w:val="26282E"/>
          <w:sz w:val="21"/>
        </w:rPr>
        <w:t>Georgia lost</w:t>
      </w:r>
      <w:r>
        <w:rPr>
          <w:rFonts w:ascii="EB Garamond" w:hAnsi="EB Garamond" w:cs="EB Garamond"/>
          <w:b w:val="0"/>
          <w:i w:val="0"/>
          <w:color w:val="26282E"/>
          <w:sz w:val="21"/>
        </w:rPr>
        <w:t xml:space="preserve">, but via prescription/acquiescence doctrine, not because South Carolina dumped fill. The </w:t>
      </w:r>
      <w:r>
        <w:rPr>
          <w:rFonts w:ascii="EB Garamond" w:hAnsi="EB Garamond" w:cs="EB Garamond"/>
          <w:b/>
          <w:i w:val="0"/>
          <w:color w:val="26282E"/>
          <w:sz w:val="21"/>
        </w:rPr>
        <w:t>dredge-fill lands (Denwill Plantation, Horseshoe Shoal) were awarded to Georgia</w:t>
      </w:r>
      <w:r>
        <w:rPr>
          <w:rFonts w:ascii="EB Garamond" w:hAnsi="EB Garamond" w:cs="EB Garamond"/>
          <w:b w:val="0"/>
          <w:i w:val="0"/>
          <w:color w:val="26282E"/>
          <w:sz w:val="21"/>
        </w:rPr>
        <w:t xml:space="preserve"> because the Corps' works made the change </w:t>
      </w:r>
      <w:r>
        <w:rPr>
          <w:rFonts w:ascii="EB Garamond" w:hAnsi="EB Garamond" w:cs="EB Garamond"/>
          <w:b/>
          <w:i w:val="0"/>
          <w:color w:val="26282E"/>
          <w:sz w:val="21"/>
        </w:rPr>
        <w:t>avulsive</w:t>
      </w:r>
      <w:r>
        <w:rPr>
          <w:rFonts w:ascii="EB Garamond" w:hAnsi="EB Garamond" w:cs="EB Garamond"/>
          <w:b w:val="0"/>
          <w:i w:val="0"/>
          <w:color w:val="26282E"/>
          <w:sz w:val="21"/>
        </w:rPr>
        <w:t xml:space="preserve"> (avulsion does not move a boundary), over South Carolina's exception. (The Treaty of Beaufort's islands-to-Georgia default was applied to </w:t>
      </w:r>
      <w:r>
        <w:rPr>
          <w:rFonts w:ascii="EB Garamond" w:hAnsi="EB Garamond" w:cs="EB Garamond"/>
          <w:b w:val="0"/>
          <w:i/>
          <w:color w:val="26282E"/>
          <w:sz w:val="21"/>
        </w:rPr>
        <w:t>new</w:t>
      </w:r>
      <w:r>
        <w:rPr>
          <w:rFonts w:ascii="EB Garamond" w:hAnsi="EB Garamond" w:cs="EB Garamond"/>
          <w:b w:val="0"/>
          <w:i w:val="0"/>
          <w:color w:val="26282E"/>
          <w:sz w:val="21"/>
        </w:rPr>
        <w:t xml:space="preserve"> islands per the 1922 </w:t>
      </w:r>
      <w:r>
        <w:rPr>
          <w:rFonts w:ascii="EB Garamond" w:hAnsi="EB Garamond" w:cs="EB Garamond"/>
          <w:b w:val="0"/>
          <w:i/>
          <w:color w:val="26282E"/>
          <w:sz w:val="21"/>
        </w:rPr>
        <w:t>Georgia v. South Carolina</w:t>
      </w:r>
      <w:r>
        <w:rPr>
          <w:rFonts w:ascii="EB Garamond" w:hAnsi="EB Garamond" w:cs="EB Garamond"/>
          <w:b w:val="0"/>
          <w:i w:val="0"/>
          <w:color w:val="26282E"/>
          <w:sz w:val="21"/>
        </w:rPr>
        <w:t>, 259 U.S. 572, construction.)</w:t>
      </w:r>
    </w:p>
    <w:p>
      <w:pPr>
        <w:jc w:val="both"/>
      </w:pPr>
      <w:r>
        <w:rPr>
          <w:rFonts w:ascii="EB Garamond" w:hAnsi="EB Garamond" w:cs="EB Garamond"/>
          <w:b w:val="0"/>
          <w:i w:val="0"/>
          <w:color w:val="26282E"/>
          <w:sz w:val="21"/>
        </w:rPr>
        <w:t xml:space="preserve">9. </w:t>
      </w:r>
      <w:r>
        <w:rPr>
          <w:rFonts w:ascii="EB Garamond" w:hAnsi="EB Garamond" w:cs="EB Garamond"/>
          <w:b/>
          <w:i w:val="0"/>
          <w:color w:val="26282E"/>
          <w:sz w:val="21"/>
        </w:rPr>
        <w:t>"In 2008 … the New York State Legislature amended and limited … adverse possession. Prior to the 2008 amendment, all that was required was a showing that the possession constituted an actual invasion of or infringement upon the owner's rights" (l.127).</w:t>
      </w:r>
      <w:r>
        <w:rPr>
          <w:rFonts w:ascii="EB Garamond" w:hAnsi="EB Garamond" w:cs="EB Garamond"/>
          <w:b w:val="0"/>
          <w:i w:val="0"/>
          <w:color w:val="26282E"/>
          <w:sz w:val="21"/>
        </w:rPr>
        <w:t xml:space="preserve"> Directionally right but imprecise: the pre-2008 test was the five </w:t>
      </w:r>
      <w:r>
        <w:rPr>
          <w:rFonts w:ascii="EB Garamond" w:hAnsi="EB Garamond" w:cs="EB Garamond"/>
          <w:b w:val="0"/>
          <w:i/>
          <w:color w:val="26282E"/>
          <w:sz w:val="21"/>
        </w:rPr>
        <w:t>Van Valkenburgh/Belotti</w:t>
      </w:r>
      <w:r>
        <w:rPr>
          <w:rFonts w:ascii="EB Garamond" w:hAnsi="EB Garamond" w:cs="EB Garamond"/>
          <w:b w:val="0"/>
          <w:i w:val="0"/>
          <w:color w:val="26282E"/>
          <w:sz w:val="21"/>
        </w:rPr>
        <w:t xml:space="preserve"> elements, and </w:t>
      </w:r>
      <w:r>
        <w:rPr>
          <w:rFonts w:ascii="EB Garamond" w:hAnsi="EB Garamond" w:cs="EB Garamond"/>
          <w:b w:val="0"/>
          <w:i/>
          <w:color w:val="26282E"/>
          <w:sz w:val="21"/>
        </w:rPr>
        <w:t>Walling v. Przybylo</w:t>
      </w:r>
      <w:r>
        <w:rPr>
          <w:rFonts w:ascii="EB Garamond" w:hAnsi="EB Garamond" w:cs="EB Garamond"/>
          <w:b w:val="0"/>
          <w:i w:val="0"/>
          <w:color w:val="26282E"/>
          <w:sz w:val="21"/>
        </w:rPr>
        <w:t>, 7 N.Y.3d 214 (2006), specifically held knowledge of true ownership no bar. The 2008 chapter 269 amendments added the reasonable-basis "claim of right" (§ 501(3)) and the § 543 per-se-permissive de minimis/maintenance rules, effective July 8, 2008, applying to claims filed on or after that date, with pre-2008-vesting claims governed by prior law.</w:t>
      </w:r>
    </w:p>
    <w:p>
      <w:pPr>
        <w:jc w:val="both"/>
      </w:pPr>
      <w:r>
        <w:rPr>
          <w:rFonts w:ascii="EB Garamond" w:hAnsi="EB Garamond" w:cs="EB Garamond"/>
          <w:b w:val="0"/>
          <w:i w:val="0"/>
          <w:color w:val="26282E"/>
          <w:sz w:val="21"/>
        </w:rPr>
        <w:t xml:space="preserve">10. </w:t>
      </w:r>
      <w:r>
        <w:rPr>
          <w:rFonts w:ascii="EB Garamond" w:hAnsi="EB Garamond" w:cs="EB Garamond"/>
          <w:b/>
          <w:i w:val="0"/>
          <w:color w:val="26282E"/>
          <w:sz w:val="21"/>
        </w:rPr>
        <w:t>"Approximately eight years after the 2008 amendment, on 30 June 2016, the … First Department … determined … how the First Department would treat claims … where title had vested prior to 2008 … if title vested … before the 2008 amendment, a plaintiff would have lawfully acquired title by satisfying the pre-amendment standard" (l.129).</w:t>
      </w:r>
      <w:r>
        <w:rPr>
          <w:rFonts w:ascii="EB Garamond" w:hAnsi="EB Garamond" w:cs="EB Garamond"/>
          <w:b w:val="0"/>
          <w:i w:val="0"/>
          <w:color w:val="26282E"/>
          <w:sz w:val="21"/>
        </w:rPr>
        <w:t xml:space="preserve"> Accurate as to the vesting rule as stated in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(1st Dep't 2016), but the exhibit should carry the caveat that the judgment was later entangled in the </w:t>
      </w:r>
      <w:r>
        <w:rPr>
          <w:rFonts w:ascii="EB Garamond" w:hAnsi="EB Garamond" w:cs="EB Garamond"/>
          <w:b w:val="0"/>
          <w:i/>
          <w:color w:val="26282E"/>
          <w:sz w:val="21"/>
        </w:rPr>
        <w:t>Stang LLC v. Hudson Square Hotel</w:t>
      </w:r>
      <w:r>
        <w:rPr>
          <w:rFonts w:ascii="EB Garamond" w:hAnsi="EB Garamond" w:cs="EB Garamond"/>
          <w:b w:val="0"/>
          <w:i w:val="0"/>
          <w:color w:val="26282E"/>
          <w:sz w:val="21"/>
        </w:rPr>
        <w:t xml:space="preserve"> misconduct litigation (counsel disqualified; conveyance vacated), so it should not be showcased as a clean win.</w:t>
      </w:r>
    </w:p>
    <w:p>
      <w:pPr>
        <w:jc w:val="both"/>
      </w:pPr>
      <w:r>
        <w:rPr>
          <w:rFonts w:ascii="EB Garamond" w:hAnsi="EB Garamond" w:cs="EB Garamond"/>
          <w:b w:val="0"/>
          <w:i w:val="0"/>
          <w:color w:val="26282E"/>
          <w:sz w:val="21"/>
        </w:rPr>
        <w:t xml:space="preserve">11. </w:t>
      </w:r>
      <w:r>
        <w:rPr>
          <w:rFonts w:ascii="EB Garamond" w:hAnsi="EB Garamond" w:cs="EB Garamond"/>
          <w:b/>
          <w:i w:val="0"/>
          <w:color w:val="26282E"/>
          <w:sz w:val="21"/>
        </w:rPr>
        <w:t>"HYBRID L3C Defined: The default United States corporate structure" (DISCLAIMER l.151) and "Vermont was the first state to pass an L3C statute in April 2008 which effectively allowed for the L3C legal form to operate in every U.S. state" (l.219).</w:t>
      </w:r>
      <w:r>
        <w:rPr>
          <w:rFonts w:ascii="EB Garamond" w:hAnsi="EB Garamond" w:cs="EB Garamond"/>
          <w:b w:val="0"/>
          <w:i w:val="0"/>
          <w:color w:val="26282E"/>
          <w:sz w:val="21"/>
        </w:rPr>
        <w:t xml:space="preserve"> Both false. The L3C exists only in the ~12 enacting jurisdictions (plus tribal codes and Puerto Rico); elsewhere it is a foreign (out-of-state) entity that must register to do business — it does not thereby "operate in every U.S. state." The </w:t>
      </w:r>
      <w:r>
        <w:rPr>
          <w:rFonts w:ascii="EB Garamond" w:hAnsi="EB Garamond" w:cs="EB Garamond"/>
          <w:b/>
          <w:i w:val="0"/>
          <w:color w:val="26282E"/>
          <w:sz w:val="21"/>
        </w:rPr>
        <w:t>default</w:t>
      </w:r>
      <w:r>
        <w:rPr>
          <w:rFonts w:ascii="EB Garamond" w:hAnsi="EB Garamond" w:cs="EB Garamond"/>
          <w:b w:val="0"/>
          <w:i w:val="0"/>
          <w:color w:val="26282E"/>
          <w:sz w:val="21"/>
        </w:rPr>
        <w:t xml:space="preserve"> U.S. business structure is the ordinary LLC (or sole proprietorship for individuals); L3Cs number only in the low thousands nationally.</w:t>
      </w:r>
    </w:p>
    <w:p>
      <w:pPr>
        <w:jc w:val="both"/>
      </w:pPr>
      <w:r>
        <w:rPr>
          <w:rFonts w:ascii="EB Garamond" w:hAnsi="EB Garamond" w:cs="EB Garamond"/>
          <w:b w:val="0"/>
          <w:i w:val="0"/>
          <w:color w:val="26282E"/>
          <w:sz w:val="21"/>
        </w:rPr>
        <w:t xml:space="preserve">12. </w:t>
      </w:r>
      <w:r>
        <w:rPr>
          <w:rFonts w:ascii="EB Garamond" w:hAnsi="EB Garamond" w:cs="EB Garamond"/>
          <w:b/>
          <w:i w:val="0"/>
          <w:color w:val="26282E"/>
          <w:sz w:val="21"/>
        </w:rPr>
        <w:t>"an L3C cannot seek to accomplish any political or legislative purposes" (l.183, as a statement of Treas. Reg. § 53.4944-3(a)).</w:t>
      </w:r>
      <w:r>
        <w:rPr>
          <w:rFonts w:ascii="EB Garamond" w:hAnsi="EB Garamond" w:cs="EB Garamond"/>
          <w:b w:val="0"/>
          <w:i w:val="0"/>
          <w:color w:val="26282E"/>
          <w:sz w:val="21"/>
        </w:rPr>
        <w:t xml:space="preserve"> Mis-transcribed: the third regulation prong is that no significant purpose of the investment may be the production of income </w:t>
      </w:r>
      <w:r>
        <w:rPr>
          <w:rFonts w:ascii="EB Garamond" w:hAnsi="EB Garamond" w:cs="EB Garamond"/>
          <w:b/>
          <w:i w:val="0"/>
          <w:color w:val="26282E"/>
          <w:sz w:val="21"/>
        </w:rPr>
        <w:t>or appreciation</w:t>
      </w:r>
      <w:r>
        <w:rPr>
          <w:rFonts w:ascii="EB Garamond" w:hAnsi="EB Garamond" w:cs="EB Garamond"/>
          <w:b w:val="0"/>
          <w:i w:val="0"/>
          <w:color w:val="26282E"/>
          <w:sz w:val="21"/>
        </w:rPr>
        <w:t xml:space="preserve"> (and, for the charitable-purpose prong, that the purpose cannot be trade/business or political purposes for the </w:t>
      </w:r>
      <w:r>
        <w:rPr>
          <w:rFonts w:ascii="EB Garamond" w:hAnsi="EB Garamond" w:cs="EB Garamond"/>
          <w:b w:val="0"/>
          <w:i/>
          <w:color w:val="26282E"/>
          <w:sz w:val="21"/>
        </w:rPr>
        <w:t>foundation</w:t>
      </w:r>
      <w:r>
        <w:rPr>
          <w:rFonts w:ascii="EB Garamond" w:hAnsi="EB Garamond" w:cs="EB Garamond"/>
          <w:b w:val="0"/>
          <w:i w:val="0"/>
          <w:color w:val="26282E"/>
          <w:sz w:val="21"/>
        </w:rPr>
        <w:t>'s test); the doc's rendering conflates the LLC-purpose clause of state statutes (e.g., Vt. § 3312, Ill. 805 ILCS 180/37-10) with the regulation. Cite § 53.4944-3(b)(1)–(3) for the actual test.</w:t>
      </w:r>
    </w:p>
    <w:p>
      <w:pPr>
        <w:jc w:val="both"/>
      </w:pPr>
      <w:r>
        <w:rPr>
          <w:rFonts w:ascii="EB Garamond" w:hAnsi="EB Garamond" w:cs="EB Garamond"/>
          <w:b w:val="0"/>
          <w:i w:val="0"/>
          <w:color w:val="26282E"/>
          <w:sz w:val="21"/>
        </w:rPr>
        <w:t xml:space="preserve">13. </w:t>
      </w:r>
      <w:r>
        <w:rPr>
          <w:rFonts w:ascii="EB Garamond" w:hAnsi="EB Garamond" w:cs="EB Garamond"/>
          <w:b/>
          <w:i w:val="0"/>
          <w:color w:val="26282E"/>
          <w:sz w:val="21"/>
        </w:rPr>
        <w:t>Header framing: "Treason … Requires aid to a declared enemy nation … Death or minimum 5 years" (DISCLAIMER l.5).</w:t>
      </w:r>
      <w:r>
        <w:rPr>
          <w:rFonts w:ascii="EB Garamond" w:hAnsi="EB Garamond" w:cs="EB Garamond"/>
          <w:b w:val="0"/>
          <w:i w:val="0"/>
          <w:color w:val="26282E"/>
          <w:sz w:val="21"/>
        </w:rPr>
        <w:t xml:space="preserve"> The penalty line is right (18 U.S.C. § 2381), but "aid to a declared enemy </w:t>
      </w:r>
      <w:r>
        <w:rPr>
          <w:rFonts w:ascii="EB Garamond" w:hAnsi="EB Garamond" w:cs="EB Garamond"/>
          <w:b/>
          <w:i w:val="0"/>
          <w:color w:val="26282E"/>
          <w:sz w:val="21"/>
        </w:rPr>
        <w:t>nation</w:t>
      </w:r>
      <w:r>
        <w:rPr>
          <w:rFonts w:ascii="EB Garamond" w:hAnsi="EB Garamond" w:cs="EB Garamond"/>
          <w:b w:val="0"/>
          <w:i w:val="0"/>
          <w:color w:val="26282E"/>
          <w:sz w:val="21"/>
        </w:rPr>
        <w:t xml:space="preserve">" is too narrow/loose: the Constitution requires aid and comfort to "Enemies" — courts read this as parties with whom the U.S. is in </w:t>
      </w:r>
      <w:r>
        <w:rPr>
          <w:rFonts w:ascii="EB Garamond" w:hAnsi="EB Garamond" w:cs="EB Garamond"/>
          <w:b/>
          <w:i w:val="0"/>
          <w:color w:val="26282E"/>
          <w:sz w:val="21"/>
        </w:rPr>
        <w:t>declared or open war</w:t>
      </w:r>
      <w:r>
        <w:rPr>
          <w:rFonts w:ascii="EB Garamond" w:hAnsi="EB Garamond" w:cs="EB Garamond"/>
          <w:b w:val="0"/>
          <w:i w:val="0"/>
          <w:color w:val="26282E"/>
          <w:sz w:val="21"/>
        </w:rPr>
        <w:t xml:space="preserve"> (not necessarily a nation; cf. </w:t>
      </w:r>
      <w:r>
        <w:rPr>
          <w:rFonts w:ascii="EB Garamond" w:hAnsi="EB Garamond" w:cs="EB Garamond"/>
          <w:b w:val="0"/>
          <w:i/>
          <w:color w:val="26282E"/>
          <w:sz w:val="21"/>
        </w:rPr>
        <w:t>Kawakita</w:t>
      </w:r>
      <w:r>
        <w:rPr>
          <w:rFonts w:ascii="EB Garamond" w:hAnsi="EB Garamond" w:cs="EB Garamond"/>
          <w:b w:val="0"/>
          <w:i w:val="0"/>
          <w:color w:val="26282E"/>
          <w:sz w:val="21"/>
        </w:rPr>
        <w:t xml:space="preserve">). Also omitted: the </w:t>
      </w:r>
      <w:r>
        <w:rPr>
          <w:rFonts w:ascii="EB Garamond" w:hAnsi="EB Garamond" w:cs="EB Garamond"/>
          <w:b/>
          <w:i w:val="0"/>
          <w:color w:val="26282E"/>
          <w:sz w:val="21"/>
        </w:rPr>
        <w:t>two-witness/same-overt-act</w:t>
      </w:r>
      <w:r>
        <w:rPr>
          <w:rFonts w:ascii="EB Garamond" w:hAnsi="EB Garamond" w:cs="EB Garamond"/>
          <w:b w:val="0"/>
          <w:i w:val="0"/>
          <w:color w:val="26282E"/>
          <w:sz w:val="21"/>
        </w:rPr>
        <w:t xml:space="preserve"> rule (art. III, § 3, cl. 1), which is the operative constraint and the reason the doc's implied linkage — "forming an L3C might expose me to treason" — is fantastical (§ 3.14).</w:t>
      </w:r>
    </w:p>
    <w:p>
      <w:pPr>
        <w:jc w:val="both"/>
      </w:pPr>
      <w:r>
        <w:rPr>
          <w:rFonts w:ascii="EB Garamond" w:hAnsi="EB Garamond" w:cs="EB Garamond"/>
          <w:b w:val="0"/>
          <w:i w:val="0"/>
          <w:color w:val="26282E"/>
          <w:sz w:val="21"/>
        </w:rPr>
        <w:t xml:space="preserve">14. </w:t>
      </w:r>
      <w:r>
        <w:rPr>
          <w:rFonts w:ascii="EB Garamond" w:hAnsi="EB Garamond" w:cs="EB Garamond"/>
          <w:b/>
          <w:i w:val="0"/>
          <w:color w:val="26282E"/>
          <w:sz w:val="21"/>
        </w:rPr>
        <w:t>Implicit thesis of the disclaimer doc — that declaring oneself a "Foreign Sovereign" and forming an L3C/tradename structure could implicate "Seditious Conspiracy &amp; Treason via L3C formation," or conversely shield one from it.</w:t>
      </w:r>
      <w:r>
        <w:rPr>
          <w:rFonts w:ascii="EB Garamond" w:hAnsi="EB Garamond" w:cs="EB Garamond"/>
          <w:b w:val="0"/>
          <w:i w:val="0"/>
          <w:color w:val="26282E"/>
          <w:sz w:val="21"/>
        </w:rPr>
        <w:t xml:space="preserve"> Neither. Seditious conspiracy requires an </w:t>
      </w:r>
      <w:r>
        <w:rPr>
          <w:rFonts w:ascii="EB Garamond" w:hAnsi="EB Garamond" w:cs="EB Garamond"/>
          <w:b/>
          <w:i w:val="0"/>
          <w:color w:val="26282E"/>
          <w:sz w:val="21"/>
        </w:rPr>
        <w:t>agreement by two or more persons to use force</w:t>
      </w:r>
      <w:r>
        <w:rPr>
          <w:rFonts w:ascii="EB Garamond" w:hAnsi="EB Garamond" w:cs="EB Garamond"/>
          <w:b w:val="0"/>
          <w:i w:val="0"/>
          <w:color w:val="26282E"/>
          <w:sz w:val="21"/>
        </w:rPr>
        <w:t xml:space="preserve"> against the U.S. government (18 U.S.C. § 2384); treason requires </w:t>
      </w:r>
      <w:r>
        <w:rPr>
          <w:rFonts w:ascii="EB Garamond" w:hAnsi="EB Garamond" w:cs="EB Garamond"/>
          <w:b/>
          <w:i w:val="0"/>
          <w:color w:val="26282E"/>
          <w:sz w:val="21"/>
        </w:rPr>
        <w:t>levying war or aiding enemies</w:t>
      </w:r>
      <w:r>
        <w:rPr>
          <w:rFonts w:ascii="EB Garamond" w:hAnsi="EB Garamond" w:cs="EB Garamond"/>
          <w:b w:val="0"/>
          <w:i w:val="0"/>
          <w:color w:val="26282E"/>
          <w:sz w:val="21"/>
        </w:rPr>
        <w:t xml:space="preserve"> proved by two witnesses to the same overt act (art. III, § 3). Paper filings, sovCit notices, and entity formation constitute neither; they merely waste court resources and, if pursued as liens/filings to obstruct, can themselves trigger prosecution under different statutes (e.g., 18 U.S.C. § 1521 — false liens against federal officers; § 875 — threats).</w:t>
      </w:r>
    </w:p>
    <w:p>
      <w:pPr>
        <w:pBdr>
          <w:bottom w:val="single" w:sz="6" w:space="1" w:color="B9975B"/>
        </w:pBdr>
      </w:pPr>
    </w:p>
    <w:p>
      <w:pPr>
        <w:keepNext/>
        <w:spacing w:before="240"/>
      </w:pPr>
      <w:r>
        <w:rPr>
          <w:rFonts w:ascii="EB Garamond" w:hAnsi="EB Garamond" w:cs="EB Garamond"/>
          <w:b/>
          <w:i w:val="0"/>
          <w:color w:val="1B2A41"/>
          <w:sz w:val="28"/>
        </w:rPr>
        <w:t>4. WHAT'S WORTH KEEPING — accurate passages worth preserving</w:t>
      </w:r>
    </w:p>
    <w:p>
      <w:pPr>
        <w:jc w:val="both"/>
      </w:pPr>
      <w:r>
        <w:rPr>
          <w:rFonts w:ascii="EB Garamond" w:hAnsi="EB Garamond" w:cs="EB Garamond"/>
          <w:b/>
          <w:i w:val="0"/>
          <w:color w:val="26282E"/>
          <w:sz w:val="21"/>
        </w:rPr>
        <w:t>Squatting or Adverse possession.md: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l.45–53 — general doctrine: ejectment, statutes of limitations, the five common-law elements,</w:t>
      </w:r>
    </w:p>
    <w:p>
      <w:pPr>
        <w:jc w:val="both"/>
      </w:pPr>
      <w:r>
        <w:rPr>
          <w:rFonts w:ascii="EB Garamond" w:hAnsi="EB Garamond" w:cs="EB Garamond"/>
          <w:b w:val="0"/>
          <w:i w:val="0"/>
          <w:color w:val="26282E"/>
          <w:sz w:val="21"/>
        </w:rPr>
        <w:t>chattel adverse possession (works of art) — clean textbook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l.63–69 — English lineage: Limitation Act 1623, real-action cutoffs, *nullum tempus occurrit</w:t>
      </w:r>
    </w:p>
    <w:p>
      <w:pPr>
        <w:jc w:val="both"/>
      </w:pPr>
      <w:r>
        <w:rPr>
          <w:rFonts w:ascii="EB Garamond" w:hAnsi="EB Garamond" w:cs="EB Garamond"/>
          <w:b w:val="0"/>
          <w:i w:val="0"/>
          <w:color w:val="26282E"/>
          <w:sz w:val="21"/>
        </w:rPr>
        <w:t>regi* and government-land immunity — historically accurate and useful context.</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l.73–103 — England &amp; Wales modern law: LRA 2002 sch. 6 procedure (10-year application, notice,</w:t>
      </w:r>
    </w:p>
    <w:p>
      <w:pPr>
        <w:jc w:val="both"/>
      </w:pPr>
      <w:r>
        <w:rPr>
          <w:rFonts w:ascii="EB Garamond" w:hAnsi="EB Garamond" w:cs="EB Garamond"/>
          <w:b w:val="0"/>
          <w:i w:val="0"/>
          <w:color w:val="26282E"/>
          <w:sz w:val="21"/>
        </w:rPr>
        <w:t xml:space="preserve">counter-notice, two-year rule), </w:t>
      </w:r>
      <w:r>
        <w:rPr>
          <w:rFonts w:ascii="EB Garamond" w:hAnsi="EB Garamond" w:cs="EB Garamond"/>
          <w:b w:val="0"/>
          <w:i/>
          <w:color w:val="26282E"/>
          <w:sz w:val="21"/>
        </w:rPr>
        <w:t>Pye v Graham</w:t>
      </w:r>
      <w:r>
        <w:rPr>
          <w:rFonts w:ascii="EB Garamond" w:hAnsi="EB Garamond" w:cs="EB Garamond"/>
          <w:b w:val="0"/>
          <w:i w:val="0"/>
          <w:color w:val="26282E"/>
          <w:sz w:val="21"/>
        </w:rPr>
        <w:t xml:space="preserve"> margin-of-appreciation holding, </w:t>
      </w:r>
      <w:r>
        <w:rPr>
          <w:rFonts w:ascii="EB Garamond" w:hAnsi="EB Garamond" w:cs="EB Garamond"/>
          <w:b w:val="0"/>
          <w:i/>
          <w:color w:val="26282E"/>
          <w:sz w:val="21"/>
        </w:rPr>
        <w:t>Best v Chief Land Registrar</w:t>
      </w:r>
      <w:r>
        <w:rPr>
          <w:rFonts w:ascii="EB Garamond" w:hAnsi="EB Garamond" w:cs="EB Garamond"/>
          <w:b w:val="0"/>
          <w:i w:val="0"/>
          <w:color w:val="26282E"/>
          <w:sz w:val="21"/>
        </w:rPr>
        <w:t xml:space="preserve"> (criminal squatting ≠ bar to title) — accurate comparative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l.109–123 — US disseisor requirements + additional elements (color of title, claim of right,</w:t>
      </w:r>
    </w:p>
    <w:p>
      <w:pPr>
        <w:jc w:val="both"/>
      </w:pPr>
      <w:r>
        <w:rPr>
          <w:rFonts w:ascii="EB Garamond" w:hAnsi="EB Garamond" w:cs="EB Garamond"/>
          <w:b w:val="0"/>
          <w:i w:val="0"/>
          <w:color w:val="26282E"/>
          <w:sz w:val="21"/>
        </w:rPr>
        <w:t>Maine Doctrine, taxes) — accurate general US law.</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l.127–133 — the 2008 NY amendments narrative and </w:t>
      </w:r>
      <w:r>
        <w:rPr>
          <w:rFonts w:ascii="EB Garamond" w:hAnsi="EB Garamond" w:cs="EB Garamond"/>
          <w:b w:val="0"/>
          <w:i/>
          <w:color w:val="26282E"/>
          <w:sz w:val="21"/>
        </w:rPr>
        <w:t>Hudson Square Hotel</w:t>
      </w:r>
      <w:r>
        <w:rPr>
          <w:rFonts w:ascii="EB Garamond" w:hAnsi="EB Garamond" w:cs="EB Garamond"/>
          <w:b w:val="0"/>
          <w:i w:val="0"/>
          <w:color w:val="26282E"/>
          <w:sz w:val="21"/>
        </w:rPr>
        <w:t xml:space="preserve"> description (see §3.9–10</w:t>
      </w:r>
    </w:p>
    <w:p>
      <w:pPr>
        <w:jc w:val="both"/>
      </w:pPr>
      <w:r>
        <w:rPr>
          <w:rFonts w:ascii="EB Garamond" w:hAnsi="EB Garamond" w:cs="EB Garamond"/>
          <w:b w:val="0"/>
          <w:i w:val="0"/>
          <w:color w:val="26282E"/>
          <w:sz w:val="21"/>
        </w:rPr>
        <w:t>caveats) — this is the exhibit's NY-relevant core; worth keeping with corrected citations.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l.159–163 — "squatter's rights" has </w:t>
      </w:r>
      <w:r>
        <w:rPr>
          <w:rFonts w:ascii="EB Garamond" w:hAnsi="EB Garamond" w:cs="EB Garamond"/>
          <w:b/>
          <w:i w:val="0"/>
          <w:color w:val="26282E"/>
          <w:sz w:val="21"/>
        </w:rPr>
        <w:t>no precise legal meaning</w:t>
      </w:r>
      <w:r>
        <w:rPr>
          <w:rFonts w:ascii="EB Garamond" w:hAnsi="EB Garamond" w:cs="EB Garamond"/>
          <w:b w:val="0"/>
          <w:i w:val="0"/>
          <w:color w:val="26282E"/>
          <w:sz w:val="21"/>
        </w:rPr>
        <w:t>; the clock-reset example;</w:t>
      </w:r>
    </w:p>
    <w:p>
      <w:pPr>
        <w:jc w:val="both"/>
      </w:pPr>
      <w:r>
        <w:rPr>
          <w:rFonts w:ascii="EB Garamond" w:hAnsi="EB Garamond" w:cs="EB Garamond"/>
          <w:b w:val="0"/>
          <w:i w:val="0"/>
          <w:color w:val="26282E"/>
          <w:sz w:val="21"/>
        </w:rPr>
        <w:t>tacking/privity — the most valuable passage for the exhibit's squatter-coverage section, and exactly what the 2024 § 711 amendment clarified.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l.175–183 — the four utilitarian justifications (title-curing, defect-curing, productive use,</w:t>
      </w:r>
    </w:p>
    <w:p>
      <w:pPr>
        <w:jc w:val="both"/>
      </w:pPr>
      <w:r>
        <w:rPr>
          <w:rFonts w:ascii="EB Garamond" w:hAnsi="EB Garamond" w:cs="EB Garamond"/>
          <w:b w:val="0"/>
          <w:i w:val="0"/>
          <w:color w:val="26282E"/>
          <w:sz w:val="21"/>
        </w:rPr>
        <w:t>personhood/efficiency) — good scholarship summary.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l.371–457 — Philippine acquisitive/extinctive prescription — accurate comparative material if the</w:t>
      </w:r>
    </w:p>
    <w:p>
      <w:pPr>
        <w:jc w:val="both"/>
      </w:pPr>
      <w:r>
        <w:rPr>
          <w:rFonts w:ascii="EB Garamond" w:hAnsi="EB Garamond" w:cs="EB Garamond"/>
          <w:b w:val="0"/>
          <w:i w:val="0"/>
          <w:color w:val="26282E"/>
          <w:sz w:val="21"/>
        </w:rPr>
        <w:t>exhibit keeps comparative scope.</w:t>
      </w:r>
    </w:p>
    <w:p>
      <w:pPr>
        <w:jc w:val="both"/>
      </w:pPr>
      <w:r>
        <w:rPr>
          <w:rFonts w:ascii="EB Garamond" w:hAnsi="EB Garamond" w:cs="EB Garamond"/>
          <w:b/>
          <w:i w:val="0"/>
          <w:color w:val="26282E"/>
          <w:sz w:val="21"/>
        </w:rPr>
        <w:t>DISCLAIMER — Seditious Conspiracy &amp; Treason via L3C formation.md: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l.3–7 — the § 2384 / art. III § 3 headline block: statute numbers, penalties, "crime is the</w:t>
      </w:r>
    </w:p>
    <w:p>
      <w:pPr>
        <w:jc w:val="both"/>
      </w:pPr>
      <w:r>
        <w:rPr>
          <w:rFonts w:ascii="EB Garamond" w:hAnsi="EB Garamond" w:cs="EB Garamond"/>
          <w:b w:val="0"/>
          <w:i w:val="0"/>
          <w:color w:val="26282E"/>
          <w:sz w:val="21"/>
        </w:rPr>
        <w:t>agreement itself," First Amendment line ("protects criticism, not plans to attack"), evidence types — genuinely accurate and useful.</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l.21–33 — NY public-benefit-corporation law: NY Const. art. X § 5; </w:t>
      </w:r>
      <w:r>
        <w:rPr>
          <w:rFonts w:ascii="EB Garamond" w:hAnsi="EB Garamond" w:cs="EB Garamond"/>
          <w:b w:val="0"/>
          <w:i/>
          <w:color w:val="26282E"/>
          <w:sz w:val="21"/>
        </w:rPr>
        <w:t>City of Rye v. MTA</w:t>
      </w:r>
      <w:r>
        <w:rPr>
          <w:rFonts w:ascii="EB Garamond" w:hAnsi="EB Garamond" w:cs="EB Garamond"/>
          <w:b w:val="0"/>
          <w:i w:val="0"/>
          <w:color w:val="26282E"/>
          <w:sz w:val="21"/>
        </w:rPr>
        <w:t>, 24</w:t>
      </w:r>
    </w:p>
    <w:p>
      <w:pPr>
        <w:jc w:val="both"/>
      </w:pPr>
      <w:r>
        <w:rPr>
          <w:rFonts w:ascii="EB Garamond" w:hAnsi="EB Garamond" w:cs="EB Garamond"/>
          <w:b w:val="0"/>
          <w:i w:val="0"/>
          <w:color w:val="26282E"/>
          <w:sz w:val="21"/>
        </w:rPr>
        <w:t xml:space="preserve">N.Y.2d 627 (1969); </w:t>
      </w:r>
      <w:r>
        <w:rPr>
          <w:rFonts w:ascii="EB Garamond" w:hAnsi="EB Garamond" w:cs="EB Garamond"/>
          <w:b w:val="0"/>
          <w:i/>
          <w:color w:val="26282E"/>
          <w:sz w:val="21"/>
        </w:rPr>
        <w:t>Schulz v. State</w:t>
      </w:r>
      <w:r>
        <w:rPr>
          <w:rFonts w:ascii="EB Garamond" w:hAnsi="EB Garamond" w:cs="EB Garamond"/>
          <w:b w:val="0"/>
          <w:i w:val="0"/>
          <w:color w:val="26282E"/>
          <w:sz w:val="21"/>
        </w:rPr>
        <w:t xml:space="preserve">, 84 N.Y.2d 231 (1994); </w:t>
      </w:r>
      <w:r>
        <w:rPr>
          <w:rFonts w:ascii="EB Garamond" w:hAnsi="EB Garamond" w:cs="EB Garamond"/>
          <w:b w:val="0"/>
          <w:i/>
          <w:color w:val="26282E"/>
          <w:sz w:val="21"/>
        </w:rPr>
        <w:t>Wein v. State</w:t>
      </w:r>
      <w:r>
        <w:rPr>
          <w:rFonts w:ascii="EB Garamond" w:hAnsi="EB Garamond" w:cs="EB Garamond"/>
          <w:b w:val="0"/>
          <w:i w:val="0"/>
          <w:color w:val="26282E"/>
          <w:sz w:val="21"/>
        </w:rPr>
        <w:t>; ABO 2018 figures (47 state / 531 local authorities; $160.4B debt) — accurate and well-sourced.</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l.35–45 — eminent domain primer: Grotius' </w:t>
      </w:r>
      <w:r>
        <w:rPr>
          <w:rFonts w:ascii="EB Garamond" w:hAnsi="EB Garamond" w:cs="EB Garamond"/>
          <w:b w:val="0"/>
          <w:i/>
          <w:color w:val="26282E"/>
          <w:sz w:val="21"/>
        </w:rPr>
        <w:t>dominium eminens</w:t>
      </w:r>
      <w:r>
        <w:rPr>
          <w:rFonts w:ascii="EB Garamond" w:hAnsi="EB Garamond" w:cs="EB Garamond"/>
          <w:b w:val="0"/>
          <w:i w:val="0"/>
          <w:color w:val="26282E"/>
          <w:sz w:val="21"/>
        </w:rPr>
        <w:t xml:space="preserve">, </w:t>
      </w:r>
      <w:r>
        <w:rPr>
          <w:rFonts w:ascii="EB Garamond" w:hAnsi="EB Garamond" w:cs="EB Garamond"/>
          <w:b w:val="0"/>
          <w:i/>
          <w:color w:val="26282E"/>
          <w:sz w:val="21"/>
        </w:rPr>
        <w:t>Berman</w:t>
      </w:r>
      <w:r>
        <w:rPr>
          <w:rFonts w:ascii="EB Garamond" w:hAnsi="EB Garamond" w:cs="EB Garamond"/>
          <w:b w:val="0"/>
          <w:i w:val="0"/>
          <w:color w:val="26282E"/>
          <w:sz w:val="21"/>
        </w:rPr>
        <w:t xml:space="preserve">, </w:t>
      </w:r>
      <w:r>
        <w:rPr>
          <w:rFonts w:ascii="EB Garamond" w:hAnsi="EB Garamond" w:cs="EB Garamond"/>
          <w:b w:val="0"/>
          <w:i/>
          <w:color w:val="26282E"/>
          <w:sz w:val="21"/>
        </w:rPr>
        <w:t>Midkiff</w:t>
      </w:r>
      <w:r>
        <w:rPr>
          <w:rFonts w:ascii="EB Garamond" w:hAnsi="EB Garamond" w:cs="EB Garamond"/>
          <w:b w:val="0"/>
          <w:i w:val="0"/>
          <w:color w:val="26282E"/>
          <w:sz w:val="21"/>
        </w:rPr>
        <w:t xml:space="preserve">, </w:t>
      </w:r>
      <w:r>
        <w:rPr>
          <w:rFonts w:ascii="EB Garamond" w:hAnsi="EB Garamond" w:cs="EB Garamond"/>
          <w:b w:val="0"/>
          <w:i/>
          <w:color w:val="26282E"/>
          <w:sz w:val="21"/>
        </w:rPr>
        <w:t>Kelo</w:t>
      </w:r>
      <w:r>
        <w:rPr>
          <w:rFonts w:ascii="EB Garamond" w:hAnsi="EB Garamond" w:cs="EB Garamond"/>
          <w:b w:val="0"/>
          <w:i w:val="0"/>
          <w:color w:val="26282E"/>
          <w:sz w:val="21"/>
        </w:rPr>
        <w:t>, just</w:t>
      </w:r>
    </w:p>
    <w:p>
      <w:pPr>
        <w:jc w:val="both"/>
      </w:pPr>
      <w:r>
        <w:rPr>
          <w:rFonts w:ascii="EB Garamond" w:hAnsi="EB Garamond" w:cs="EB Garamond"/>
          <w:b w:val="0"/>
          <w:i w:val="0"/>
          <w:color w:val="26282E"/>
          <w:sz w:val="21"/>
        </w:rPr>
        <w:t>compensation/severance-damages mechanics — accurate.</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l.153–167, 187–213, 227–259 — the L3C explainer: definition, Lang origin, PRI mechanics</w:t>
      </w:r>
    </w:p>
    <w:p>
      <w:pPr>
        <w:jc w:val="both"/>
      </w:pPr>
      <w:r>
        <w:rPr>
          <w:rFonts w:ascii="EB Garamond" w:hAnsi="EB Garamond" w:cs="EB Garamond"/>
          <w:b w:val="0"/>
          <w:i w:val="0"/>
          <w:color w:val="26282E"/>
          <w:sz w:val="21"/>
        </w:rPr>
        <w:t>(§ 53.4944-3), PLR costs, funding segments, SEEDR example — keep as the "what an L3C actually is" section (correct the two errors in §3.11–12).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l.263–287 — L3C pros/cons tables (PLR cost, IRS non-confirmation, "a well-crafted LLC can do the</w:t>
      </w:r>
    </w:p>
    <w:p>
      <w:pPr>
        <w:jc w:val="both"/>
      </w:pPr>
      <w:r>
        <w:rPr>
          <w:rFonts w:ascii="EB Garamond" w:hAnsi="EB Garamond" w:cs="EB Garamond"/>
          <w:b w:val="0"/>
          <w:i w:val="0"/>
          <w:color w:val="26282E"/>
          <w:sz w:val="21"/>
        </w:rPr>
        <w:t>same") — the honest critique that undercuts the doc's own exotic framing.</w:t>
      </w:r>
    </w:p>
    <w:p>
      <w:pPr>
        <w:jc w:val="both"/>
      </w:pPr>
      <w:r>
        <w:rPr>
          <w:rFonts w:ascii="EB Garamond" w:hAnsi="EB Garamond" w:cs="EB Garamond"/>
          <w:b/>
          <w:i w:val="0"/>
          <w:color w:val="26282E"/>
          <w:sz w:val="21"/>
        </w:rPr>
        <w:t>VERSION 1 variant:</w:t>
      </w:r>
      <w:r>
        <w:rPr>
          <w:rFonts w:ascii="EB Garamond" w:hAnsi="EB Garamond" w:cs="EB Garamond"/>
          <w:b w:val="0"/>
          <w:i w:val="0"/>
          <w:color w:val="26282E"/>
          <w:sz w:val="21"/>
        </w:rPr>
        <w:t xml:space="preserve"> the NYC Corporation Counsel / Law Department description (accurate, 1849 charter origin, division list) is the only unique material worth preserving.</w:t>
      </w:r>
    </w:p>
    <w:p>
      <w:pPr>
        <w:pBdr>
          <w:bottom w:val="single" w:sz="6" w:space="1" w:color="B9975B"/>
        </w:pBdr>
      </w:pPr>
    </w:p>
    <w:p>
      <w:pPr>
        <w:keepNext/>
        <w:spacing w:before="240"/>
      </w:pPr>
      <w:r>
        <w:rPr>
          <w:rFonts w:ascii="EB Garamond" w:hAnsi="EB Garamond" w:cs="EB Garamond"/>
          <w:b/>
          <w:i w:val="0"/>
          <w:color w:val="1B2A41"/>
          <w:sz w:val="28"/>
        </w:rPr>
        <w:t>5. IMAGES</w:t>
      </w:r>
    </w:p>
    <w:p>
      <w:pPr>
        <w:jc w:val="both"/>
      </w:pPr>
      <w:r>
        <w:rPr>
          <w:rFonts w:ascii="EB Garamond" w:hAnsi="EB Garamond" w:cs="EB Garamond"/>
          <w:b w:val="0"/>
          <w:i w:val="0"/>
          <w:color w:val="26282E"/>
          <w:sz w:val="21"/>
        </w:rPr>
        <w:t xml:space="preserve">Downloaded to </w:t>
      </w:r>
      <w:r>
        <w:rPr>
          <w:rFonts w:ascii="Montserrat" w:hAnsi="Montserrat" w:cs="Montserrat"/>
          <w:b w:val="0"/>
          <w:i w:val="0"/>
          <w:color w:val="3A4356"/>
          <w:sz w:val="16"/>
        </w:rPr>
        <w:t>/app/data/workspaces/fictiv/images/</w:t>
      </w:r>
      <w:r>
        <w:rPr>
          <w:rFonts w:ascii="EB Garamond" w:hAnsi="EB Garamond" w:cs="EB Garamond"/>
          <w:b w:val="0"/>
          <w:i w:val="0"/>
          <w:color w:val="26282E"/>
          <w:sz w:val="21"/>
        </w:rPr>
        <w:t xml:space="preserve"> and recorded in </w:t>
      </w:r>
      <w:r>
        <w:rPr>
          <w:rFonts w:ascii="Montserrat" w:hAnsi="Montserrat" w:cs="Montserrat"/>
          <w:b w:val="0"/>
          <w:i w:val="0"/>
          <w:color w:val="3A4356"/>
          <w:sz w:val="16"/>
        </w:rPr>
        <w:t>/app/data/workspaces/fictiv/images/manifest.json</w:t>
      </w:r>
      <w:r>
        <w:rPr>
          <w:rFonts w:ascii="EB Garamond" w:hAnsi="EB Garamond" w:cs="EB Garamond"/>
          <w:b w:val="0"/>
          <w:i w:val="0"/>
          <w:color w:val="26282E"/>
          <w:sz w:val="21"/>
        </w:rPr>
        <w:t xml:space="preserve"> (new file; appends nothing — none existed):</w:t>
      </w:r>
    </w:p>
    <w:tbl>
      <w:tblPr>
        <w:tblW w:type="auto" w:w="0"/>
        <w:tblLook w:firstColumn="1" w:firstRow="1" w:lastColumn="0" w:lastRow="0" w:noHBand="0" w:noVBand="1" w:val="04A0"/>
      </w:tblPr>
      <w:tblGrid>
        <w:gridCol w:w="2340"/>
        <w:gridCol w:w="2340"/>
        <w:gridCol w:w="2340"/>
        <w:gridCol w:w="2340"/>
      </w:tblGrid>
      <w:tr>
        <w:tc>
          <w:tcPr>
            <w:tcW w:type="dxa" w:w="2340"/>
            <w:shd w:val="clear" w:fill="EFEBE0"/>
          </w:tcPr>
          <w:p>
            <w:r>
              <w:rPr>
                <w:rFonts w:ascii="Montserrat" w:hAnsi="Montserrat" w:cs="Montserrat"/>
                <w:b/>
                <w:i w:val="0"/>
                <w:color w:val="1B2A41"/>
                <w:sz w:val="19"/>
              </w:rPr>
              <w:t>id</w:t>
            </w:r>
          </w:p>
        </w:tc>
        <w:tc>
          <w:tcPr>
            <w:tcW w:type="dxa" w:w="2340"/>
            <w:shd w:val="clear" w:fill="EFEBE0"/>
          </w:tcPr>
          <w:p>
            <w:r>
              <w:rPr>
                <w:rFonts w:ascii="Montserrat" w:hAnsi="Montserrat" w:cs="Montserrat"/>
                <w:b/>
                <w:i w:val="0"/>
                <w:color w:val="1B2A41"/>
                <w:sz w:val="19"/>
              </w:rPr>
              <w:t>file</w:t>
            </w:r>
          </w:p>
        </w:tc>
        <w:tc>
          <w:tcPr>
            <w:tcW w:type="dxa" w:w="2340"/>
            <w:shd w:val="clear" w:fill="EFEBE0"/>
          </w:tcPr>
          <w:p>
            <w:r>
              <w:rPr>
                <w:rFonts w:ascii="Montserrat" w:hAnsi="Montserrat" w:cs="Montserrat"/>
                <w:b/>
                <w:i w:val="0"/>
                <w:color w:val="1B2A41"/>
                <w:sz w:val="19"/>
              </w:rPr>
              <w:t>subject</w:t>
            </w:r>
          </w:p>
        </w:tc>
        <w:tc>
          <w:tcPr>
            <w:tcW w:type="dxa" w:w="2340"/>
            <w:shd w:val="clear" w:fill="EFEBE0"/>
          </w:tcPr>
          <w:p>
            <w:r>
              <w:rPr>
                <w:rFonts w:ascii="Montserrat" w:hAnsi="Montserrat" w:cs="Montserrat"/>
                <w:b/>
                <w:i w:val="0"/>
                <w:color w:val="1B2A41"/>
                <w:sz w:val="19"/>
              </w:rPr>
              <w:t>license</w:t>
            </w:r>
          </w:p>
        </w:tc>
      </w:tr>
      <w:tr>
        <w:tc>
          <w:tcPr>
            <w:tcW w:type="dxa" w:w="2340"/>
          </w:tcPr>
          <w:p>
            <w:r>
              <w:rPr>
                <w:rFonts w:ascii="EB Garamond" w:hAnsi="EB Garamond" w:cs="EB Garamond"/>
                <w:b w:val="0"/>
                <w:i w:val="0"/>
                <w:color w:val="26282E"/>
                <w:sz w:val="19"/>
              </w:rPr>
              <w:t>constitution-article-iii</w:t>
            </w:r>
          </w:p>
        </w:tc>
        <w:tc>
          <w:tcPr>
            <w:tcW w:type="dxa" w:w="2340"/>
          </w:tcPr>
          <w:p>
            <w:r>
              <w:rPr>
                <w:rFonts w:ascii="EB Garamond" w:hAnsi="EB Garamond" w:cs="EB Garamond"/>
                <w:b w:val="0"/>
                <w:i w:val="0"/>
                <w:color w:val="26282E"/>
                <w:sz w:val="19"/>
              </w:rPr>
              <w:t>constitution-article-iii.jpg</w:t>
            </w:r>
          </w:p>
        </w:tc>
        <w:tc>
          <w:tcPr>
            <w:tcW w:type="dxa" w:w="2340"/>
          </w:tcPr>
          <w:p>
            <w:r>
              <w:rPr>
                <w:rFonts w:ascii="EB Garamond" w:hAnsi="EB Garamond" w:cs="EB Garamond"/>
                <w:b w:val="0"/>
                <w:i w:val="0"/>
                <w:color w:val="26282E"/>
                <w:sz w:val="19"/>
              </w:rPr>
              <w:t>Page 4 of the engrossed U.S. Constitution (the Articles III–VII page; Art. III § 3 Treason Clause)</w:t>
            </w:r>
          </w:p>
        </w:tc>
        <w:tc>
          <w:tcPr>
            <w:tcW w:type="dxa" w:w="2340"/>
          </w:tcPr>
          <w:p>
            <w:r>
              <w:rPr>
                <w:rFonts w:ascii="EB Garamond" w:hAnsi="EB Garamond" w:cs="EB Garamond"/>
                <w:b w:val="0"/>
                <w:i w:val="0"/>
                <w:color w:val="26282E"/>
                <w:sz w:val="19"/>
              </w:rPr>
              <w:t>Public domain (NARA, via Wikimedia Commons)</w:t>
            </w:r>
          </w:p>
        </w:tc>
      </w:tr>
      <w:tr>
        <w:tc>
          <w:tcPr>
            <w:tcW w:type="dxa" w:w="2340"/>
          </w:tcPr>
          <w:p>
            <w:r>
              <w:rPr>
                <w:rFonts w:ascii="EB Garamond" w:hAnsi="EB Garamond" w:cs="EB Garamond"/>
                <w:b w:val="0"/>
                <w:i w:val="0"/>
                <w:color w:val="26282E"/>
                <w:sz w:val="19"/>
              </w:rPr>
              <w:t>homestead-sod-house-1886</w:t>
            </w:r>
          </w:p>
        </w:tc>
        <w:tc>
          <w:tcPr>
            <w:tcW w:type="dxa" w:w="2340"/>
          </w:tcPr>
          <w:p>
            <w:r>
              <w:rPr>
                <w:rFonts w:ascii="EB Garamond" w:hAnsi="EB Garamond" w:cs="EB Garamond"/>
                <w:b w:val="0"/>
                <w:i w:val="0"/>
                <w:color w:val="26282E"/>
                <w:sz w:val="19"/>
              </w:rPr>
              <w:t>homestead-sod-house-1886.jpg</w:t>
            </w:r>
          </w:p>
        </w:tc>
        <w:tc>
          <w:tcPr>
            <w:tcW w:type="dxa" w:w="2340"/>
          </w:tcPr>
          <w:p>
            <w:r>
              <w:rPr>
                <w:rFonts w:ascii="EB Garamond" w:hAnsi="EB Garamond" w:cs="EB Garamond"/>
                <w:b w:val="0"/>
                <w:i w:val="0"/>
                <w:color w:val="26282E"/>
                <w:sz w:val="19"/>
              </w:rPr>
              <w:t>Solomon Butcher photo: Sylvester Rawding family, sod-house homestead, Custer Co., NE (land-occupation/homestead-era visual)</w:t>
            </w:r>
          </w:p>
        </w:tc>
        <w:tc>
          <w:tcPr>
            <w:tcW w:type="dxa" w:w="2340"/>
          </w:tcPr>
          <w:p>
            <w:r>
              <w:rPr>
                <w:rFonts w:ascii="EB Garamond" w:hAnsi="EB Garamond" w:cs="EB Garamond"/>
                <w:b w:val="0"/>
                <w:i w:val="0"/>
                <w:color w:val="26282E"/>
                <w:sz w:val="19"/>
              </w:rPr>
              <w:t>Public domain (Library of Congress)</w:t>
            </w:r>
          </w:p>
        </w:tc>
      </w:tr>
      <w:tr>
        <w:tc>
          <w:tcPr>
            <w:tcW w:type="dxa" w:w="2340"/>
          </w:tcPr>
          <w:p>
            <w:r>
              <w:rPr>
                <w:rFonts w:ascii="EB Garamond" w:hAnsi="EB Garamond" w:cs="EB Garamond"/>
                <w:b w:val="0"/>
                <w:i w:val="0"/>
                <w:color w:val="26282E"/>
                <w:sz w:val="19"/>
              </w:rPr>
              <w:t>legal-gavel</w:t>
            </w:r>
          </w:p>
        </w:tc>
        <w:tc>
          <w:tcPr>
            <w:tcW w:type="dxa" w:w="2340"/>
          </w:tcPr>
          <w:p>
            <w:r>
              <w:rPr>
                <w:rFonts w:ascii="EB Garamond" w:hAnsi="EB Garamond" w:cs="EB Garamond"/>
                <w:b w:val="0"/>
                <w:i w:val="0"/>
                <w:color w:val="26282E"/>
                <w:sz w:val="19"/>
              </w:rPr>
              <w:t>legal-gavel.jpg</w:t>
            </w:r>
          </w:p>
        </w:tc>
        <w:tc>
          <w:tcPr>
            <w:tcW w:type="dxa" w:w="2340"/>
          </w:tcPr>
          <w:p>
            <w:r>
              <w:rPr>
                <w:rFonts w:ascii="EB Garamond" w:hAnsi="EB Garamond" w:cs="EB Garamond"/>
                <w:b w:val="0"/>
                <w:i w:val="0"/>
                <w:color w:val="26282E"/>
                <w:sz w:val="19"/>
              </w:rPr>
              <w:t>Courtroom gavel (courthouse/judiciary symbol)</w:t>
            </w:r>
          </w:p>
        </w:tc>
        <w:tc>
          <w:tcPr>
            <w:tcW w:type="dxa" w:w="2340"/>
          </w:tcPr>
          <w:p>
            <w:r>
              <w:rPr>
                <w:rFonts w:ascii="EB Garamond" w:hAnsi="EB Garamond" w:cs="EB Garamond"/>
                <w:b w:val="0"/>
                <w:i w:val="0"/>
                <w:color w:val="26282E"/>
                <w:sz w:val="19"/>
              </w:rPr>
              <w:t>CC BY 2.0 (Blogtrepreneur)</w:t>
            </w:r>
          </w:p>
        </w:tc>
      </w:tr>
      <w:tr>
        <w:tc>
          <w:tcPr>
            <w:tcW w:type="dxa" w:w="2340"/>
          </w:tcPr>
          <w:p>
            <w:r>
              <w:rPr>
                <w:rFonts w:ascii="EB Garamond" w:hAnsi="EB Garamond" w:cs="EB Garamond"/>
                <w:b w:val="0"/>
                <w:i w:val="0"/>
                <w:color w:val="26282E"/>
                <w:sz w:val="19"/>
              </w:rPr>
              <w:t>us-code-law-book</w:t>
            </w:r>
          </w:p>
        </w:tc>
        <w:tc>
          <w:tcPr>
            <w:tcW w:type="dxa" w:w="2340"/>
          </w:tcPr>
          <w:p>
            <w:r>
              <w:rPr>
                <w:rFonts w:ascii="EB Garamond" w:hAnsi="EB Garamond" w:cs="EB Garamond"/>
                <w:b w:val="0"/>
                <w:i w:val="0"/>
                <w:color w:val="26282E"/>
                <w:sz w:val="19"/>
              </w:rPr>
              <w:t>us-code-law-book.jpg</w:t>
            </w:r>
          </w:p>
        </w:tc>
        <w:tc>
          <w:tcPr>
            <w:tcW w:type="dxa" w:w="2340"/>
          </w:tcPr>
          <w:p>
            <w:r>
              <w:rPr>
                <w:rFonts w:ascii="EB Garamond" w:hAnsi="EB Garamond" w:cs="EB Garamond"/>
                <w:b w:val="0"/>
                <w:i w:val="0"/>
                <w:color w:val="26282E"/>
                <w:sz w:val="19"/>
              </w:rPr>
              <w:t>Printed United States Code volume (Title 18 sits in the US Code; § 2384 is in Title 18)</w:t>
            </w:r>
          </w:p>
        </w:tc>
        <w:tc>
          <w:tcPr>
            <w:tcW w:type="dxa" w:w="2340"/>
          </w:tcPr>
          <w:p>
            <w:r>
              <w:rPr>
                <w:rFonts w:ascii="EB Garamond" w:hAnsi="EB Garamond" w:cs="EB Garamond"/>
                <w:b w:val="0"/>
                <w:i w:val="0"/>
                <w:color w:val="26282E"/>
                <w:sz w:val="19"/>
              </w:rPr>
              <w:t>CC BY-SA 3.0 (Tony Webster)</w:t>
            </w:r>
          </w:p>
        </w:tc>
      </w:tr>
    </w:tbl>
    <w:p>
      <w:pPr>
        <w:jc w:val="both"/>
      </w:pPr>
      <w:r>
        <w:rPr>
          <w:rFonts w:ascii="EB Garamond" w:hAnsi="EB Garamond" w:cs="EB Garamond"/>
          <w:b w:val="0"/>
          <w:i w:val="0"/>
          <w:color w:val="26282E"/>
          <w:sz w:val="21"/>
        </w:rPr>
        <w:t>All four files verified as real JPEGs on disk (magic-byte check) — 3.6 MB / 3.1 MB / 5.7 MB / 1.9 MB. A fifth slot is available if a portrait of a § 2384 defendant is desired, but respectful-exhibit considerations counsel against booking-photo reuse; the four above cover the requested categories (Constitution page, homestead/land photo, courthouse/gavel, US Code volume).</w:t>
      </w:r>
    </w:p>
    <w:p>
      <w:pPr>
        <w:jc w:val="center"/>
      </w:pPr>
      <w:r/>
    </w:p>
    <w:p>
      <w:pPr>
        <w:jc w:val="center"/>
      </w:pPr>
      <w:r>
        <w:drawing>
          <wp:inline xmlns:a="http://schemas.openxmlformats.org/drawingml/2006/main" xmlns:pic="http://schemas.openxmlformats.org/drawingml/2006/picture">
            <wp:extent cx="4206240" cy="3187275"/>
            <wp:docPr id="1" name="Picture 1"/>
            <wp:cNvGraphicFramePr>
              <a:graphicFrameLocks noChangeAspect="1"/>
            </wp:cNvGraphicFramePr>
            <a:graphic>
              <a:graphicData uri="http://schemas.openxmlformats.org/drawingml/2006/picture">
                <pic:pic>
                  <pic:nvPicPr>
                    <pic:cNvPr id="0" name="legal-gavel.jpg"/>
                    <pic:cNvPicPr/>
                  </pic:nvPicPr>
                  <pic:blipFill>
                    <a:blip r:embed="rId32"/>
                    <a:stretch>
                      <a:fillRect/>
                    </a:stretch>
                  </pic:blipFill>
                  <pic:spPr>
                    <a:xfrm>
                      <a:off x="0" y="0"/>
                      <a:ext cx="4206240" cy="3187275"/>
                    </a:xfrm>
                    <a:prstGeom prst="rect"/>
                  </pic:spPr>
                </pic:pic>
              </a:graphicData>
            </a:graphic>
          </wp:inline>
        </w:drawing>
      </w:r>
    </w:p>
    <w:p>
      <w:pPr>
        <w:jc w:val="center"/>
      </w:pPr>
      <w:r>
        <w:rPr>
          <w:rFonts w:ascii="EB Garamond" w:hAnsi="EB Garamond" w:cs="EB Garamond"/>
          <w:b w:val="0"/>
          <w:i/>
          <w:color w:val="4A5568"/>
          <w:sz w:val="18"/>
        </w:rPr>
        <w:t>legal-gavel</w:t>
      </w:r>
    </w:p>
    <w:p>
      <w:pPr>
        <w:jc w:val="center"/>
      </w:pPr>
      <w:r>
        <w:drawing>
          <wp:inline xmlns:a="http://schemas.openxmlformats.org/drawingml/2006/main" xmlns:pic="http://schemas.openxmlformats.org/drawingml/2006/picture">
            <wp:extent cx="4206240" cy="5098392"/>
            <wp:docPr id="2" name="Picture 2"/>
            <wp:cNvGraphicFramePr>
              <a:graphicFrameLocks noChangeAspect="1"/>
            </wp:cNvGraphicFramePr>
            <a:graphic>
              <a:graphicData uri="http://schemas.openxmlformats.org/drawingml/2006/picture">
                <pic:pic>
                  <pic:nvPicPr>
                    <pic:cNvPr id="0" name="constitution-article-iii.jpg"/>
                    <pic:cNvPicPr/>
                  </pic:nvPicPr>
                  <pic:blipFill>
                    <a:blip r:embed="rId33"/>
                    <a:stretch>
                      <a:fillRect/>
                    </a:stretch>
                  </pic:blipFill>
                  <pic:spPr>
                    <a:xfrm>
                      <a:off x="0" y="0"/>
                      <a:ext cx="4206240" cy="5098392"/>
                    </a:xfrm>
                    <a:prstGeom prst="rect"/>
                  </pic:spPr>
                </pic:pic>
              </a:graphicData>
            </a:graphic>
          </wp:inline>
        </w:drawing>
      </w:r>
    </w:p>
    <w:p>
      <w:pPr>
        <w:jc w:val="center"/>
      </w:pPr>
      <w:r>
        <w:rPr>
          <w:rFonts w:ascii="EB Garamond" w:hAnsi="EB Garamond" w:cs="EB Garamond"/>
          <w:b w:val="0"/>
          <w:i/>
          <w:color w:val="4A5568"/>
          <w:sz w:val="18"/>
        </w:rPr>
        <w:t>constitution-article-iii</w:t>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EB1DAA" w:rsidRPr="00EB1DAA">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84DB" w14:textId="77777777" w:rsidR="00AB7944" w:rsidRDefault="00AB7944" w:rsidP="00534458">
      <w:pPr>
        <w:spacing w:after="0" w:line="240" w:lineRule="auto"/>
      </w:pPr>
      <w:r>
        <w:separator/>
      </w:r>
    </w:p>
  </w:endnote>
  <w:endnote w:type="continuationSeparator" w:id="0">
    <w:p w14:paraId="7515BDB5" w14:textId="77777777" w:rsidR="00AB7944" w:rsidRDefault="00AB7944" w:rsidP="00534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563210"/>
      <w:docPartObj>
        <w:docPartGallery w:val="Page Numbers (Bottom of Page)"/>
        <w:docPartUnique/>
      </w:docPartObj>
    </w:sdtPr>
    <w:sdtContent>
      <w:sdt>
        <w:sdtPr>
          <w:id w:val="1728636285"/>
          <w:docPartObj>
            <w:docPartGallery w:val="Page Numbers (Top of Page)"/>
            <w:docPartUnique/>
          </w:docPartObj>
        </w:sdtPr>
        <w:sdtContent>
          <w:p w14:paraId="2B42FE25" w14:textId="091EFC78" w:rsidR="00534458" w:rsidRDefault="00534458" w:rsidP="00534458">
            <w:pPr>
              <w:pStyle w:val="Footer"/>
              <w:jc w:val="center"/>
            </w:pPr>
            <w:r w:rsidRPr="00534458">
              <w:rPr>
                <w:rFonts w:ascii="Amasis MT Pro Black" w:hAnsi="Amasis MT Pro Black"/>
                <w:sz w:val="16"/>
                <w:szCs w:val="16"/>
              </w:rPr>
              <w:t xml:space="preserve">Page </w:t>
            </w:r>
            <w:r w:rsidRPr="00534458">
              <w:rPr>
                <w:rFonts w:ascii="Amasis MT Pro Black" w:hAnsi="Amasis MT Pro Black"/>
                <w:b/>
                <w:bCs/>
                <w:sz w:val="16"/>
                <w:szCs w:val="16"/>
              </w:rPr>
              <w:fldChar w:fldCharType="begin"/>
            </w:r>
            <w:r w:rsidRPr="00534458">
              <w:rPr>
                <w:rFonts w:ascii="Amasis MT Pro Black" w:hAnsi="Amasis MT Pro Black"/>
                <w:b/>
                <w:bCs/>
                <w:sz w:val="16"/>
                <w:szCs w:val="16"/>
              </w:rPr>
              <w:instrText xml:space="preserve"> PAGE </w:instrText>
            </w:r>
            <w:r w:rsidRPr="00534458">
              <w:rPr>
                <w:rFonts w:ascii="Amasis MT Pro Black" w:hAnsi="Amasis MT Pro Black"/>
                <w:b/>
                <w:bCs/>
                <w:sz w:val="16"/>
                <w:szCs w:val="16"/>
              </w:rPr>
              <w:fldChar w:fldCharType="separate"/>
            </w:r>
            <w:r w:rsidRPr="00534458">
              <w:rPr>
                <w:rFonts w:ascii="Amasis MT Pro Black" w:hAnsi="Amasis MT Pro Black"/>
                <w:b/>
                <w:bCs/>
                <w:noProof/>
                <w:sz w:val="16"/>
                <w:szCs w:val="16"/>
              </w:rPr>
              <w:t>2</w:t>
            </w:r>
            <w:r w:rsidRPr="00534458">
              <w:rPr>
                <w:rFonts w:ascii="Amasis MT Pro Black" w:hAnsi="Amasis MT Pro Black"/>
                <w:b/>
                <w:bCs/>
                <w:sz w:val="16"/>
                <w:szCs w:val="16"/>
              </w:rPr>
              <w:fldChar w:fldCharType="end"/>
            </w:r>
            <w:r w:rsidRPr="00534458">
              <w:rPr>
                <w:rFonts w:ascii="Amasis MT Pro Black" w:hAnsi="Amasis MT Pro Black"/>
                <w:sz w:val="16"/>
                <w:szCs w:val="16"/>
              </w:rPr>
              <w:t xml:space="preserve"> of </w:t>
            </w:r>
            <w:r w:rsidRPr="00534458">
              <w:rPr>
                <w:rFonts w:ascii="Amasis MT Pro Black" w:hAnsi="Amasis MT Pro Black"/>
                <w:b/>
                <w:bCs/>
                <w:sz w:val="16"/>
                <w:szCs w:val="16"/>
              </w:rPr>
              <w:fldChar w:fldCharType="begin"/>
            </w:r>
            <w:r w:rsidRPr="00534458">
              <w:rPr>
                <w:rFonts w:ascii="Amasis MT Pro Black" w:hAnsi="Amasis MT Pro Black"/>
                <w:b/>
                <w:bCs/>
                <w:sz w:val="16"/>
                <w:szCs w:val="16"/>
              </w:rPr>
              <w:instrText xml:space="preserve"> NUMPAGES  </w:instrText>
            </w:r>
            <w:r w:rsidRPr="00534458">
              <w:rPr>
                <w:rFonts w:ascii="Amasis MT Pro Black" w:hAnsi="Amasis MT Pro Black"/>
                <w:b/>
                <w:bCs/>
                <w:sz w:val="16"/>
                <w:szCs w:val="16"/>
              </w:rPr>
              <w:fldChar w:fldCharType="separate"/>
            </w:r>
            <w:r w:rsidRPr="00534458">
              <w:rPr>
                <w:rFonts w:ascii="Amasis MT Pro Black" w:hAnsi="Amasis MT Pro Black"/>
                <w:b/>
                <w:bCs/>
                <w:noProof/>
                <w:sz w:val="16"/>
                <w:szCs w:val="16"/>
              </w:rPr>
              <w:t>2</w:t>
            </w:r>
            <w:r w:rsidRPr="00534458">
              <w:rPr>
                <w:rFonts w:ascii="Amasis MT Pro Black" w:hAnsi="Amasis MT Pro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E1D4" w14:textId="77777777" w:rsidR="00AB7944" w:rsidRDefault="00AB7944" w:rsidP="00534458">
      <w:pPr>
        <w:spacing w:after="0" w:line="240" w:lineRule="auto"/>
      </w:pPr>
      <w:r>
        <w:separator/>
      </w:r>
    </w:p>
  </w:footnote>
  <w:footnote w:type="continuationSeparator" w:id="0">
    <w:p w14:paraId="625CC7D8" w14:textId="77777777" w:rsidR="00AB7944" w:rsidRDefault="00AB7944" w:rsidP="00534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9AC4" w14:textId="2C711C97" w:rsidR="00D510DE" w:rsidRPr="006E2C17" w:rsidRDefault="00D510DE" w:rsidP="006E2C17">
    <w:pPr>
      <w:spacing w:line="276" w:lineRule="auto"/>
      <w:jc w:val="center"/>
      <w:rPr>
        <w:rFonts w:ascii="Times New Roman" w:eastAsia="Calibri" w:hAnsi="Times New Roman" w:cs="Times New Roman"/>
        <w:i/>
        <w:iCs/>
        <w:color w:val="222222"/>
        <w:sz w:val="18"/>
        <w:szCs w:val="18"/>
      </w:rPr>
    </w:pPr>
    <w:r w:rsidRPr="00D510DE">
      <w:rPr>
        <w:rFonts w:ascii="Algerian" w:hAnsi="Algerian"/>
        <w:sz w:val="28"/>
        <w:szCs w:val="28"/>
      </w:rPr>
      <w:t>EXHIBIT</w:t>
    </w:r>
    <w:r w:rsidR="006E2C17">
      <w:rPr>
        <w:rFonts w:ascii="Algerian" w:hAnsi="Algerian"/>
        <w:sz w:val="28"/>
        <w:szCs w:val="28"/>
      </w:rPr>
      <w:t xml:space="preserve"> </w:t>
    </w:r>
    <w:r w:rsidR="006E2C17" w:rsidRPr="002B612E">
      <w:rPr>
        <w:rFonts w:ascii="Times New Roman" w:eastAsia="Calibri" w:hAnsi="Times New Roman" w:cs="Times New Roman"/>
        <w:b/>
        <w:sz w:val="18"/>
        <w:szCs w:val="18"/>
      </w:rPr>
      <w:t>“</w:t>
    </w:r>
    <w:r w:rsidR="006E2C17" w:rsidRPr="00D54F70">
      <w:rPr>
        <w:rFonts w:ascii="Times New Roman" w:eastAsia="Calibri" w:hAnsi="Times New Roman" w:cs="Times New Roman"/>
        <w:b/>
        <w:i/>
        <w:sz w:val="22"/>
        <w:szCs w:val="22"/>
      </w:rPr>
      <w:t>Everything is complicated if no one explains it to you</w:t>
    </w:r>
    <w:r w:rsidR="006E2C17" w:rsidRPr="00D54F70">
      <w:rPr>
        <w:rFonts w:ascii="Times New Roman" w:eastAsia="Calibri" w:hAnsi="Times New Roman" w:cs="Times New Roman"/>
        <w:b/>
        <w:sz w:val="22"/>
        <w:szCs w:val="22"/>
      </w:rPr>
      <w:t>.”</w:t>
    </w:r>
    <w:r w:rsidR="006E2C17" w:rsidRPr="00D54F70">
      <w:rPr>
        <w:rFonts w:ascii="Times New Roman" w:eastAsia="Calibri" w:hAnsi="Times New Roman" w:cs="Times New Roman"/>
        <w:sz w:val="22"/>
        <w:szCs w:val="22"/>
      </w:rPr>
      <w:t xml:space="preserve"> </w:t>
    </w:r>
    <w:r w:rsidR="006E2C17" w:rsidRPr="002B612E">
      <w:rPr>
        <w:rFonts w:ascii="Times New Roman" w:eastAsia="Calibri" w:hAnsi="Times New Roman" w:cs="Times New Roman"/>
        <w:color w:val="C00000"/>
        <w:sz w:val="18"/>
        <w:szCs w:val="18"/>
      </w:rPr>
      <w:br/>
    </w:r>
    <w:r w:rsidR="006E2C17" w:rsidRPr="002B612E">
      <w:rPr>
        <w:rFonts w:ascii="Times New Roman" w:eastAsia="Calibri" w:hAnsi="Times New Roman" w:cs="Times New Roman"/>
        <w:color w:val="222222"/>
        <w:sz w:val="18"/>
        <w:szCs w:val="18"/>
      </w:rPr>
      <w:t xml:space="preserve">― </w:t>
    </w:r>
    <w:r w:rsidR="006E2C17" w:rsidRPr="002B612E">
      <w:rPr>
        <w:rFonts w:ascii="Times New Roman" w:eastAsia="Calibri" w:hAnsi="Times New Roman" w:cs="Times New Roman"/>
        <w:i/>
        <w:iCs/>
        <w:color w:val="222222"/>
        <w:sz w:val="18"/>
        <w:szCs w:val="18"/>
      </w:rPr>
      <w:t>Fredrik Backman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69F"/>
    <w:multiLevelType w:val="hybridMultilevel"/>
    <w:tmpl w:val="6BF6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9625E"/>
    <w:multiLevelType w:val="hybridMultilevel"/>
    <w:tmpl w:val="FD821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33AEB"/>
    <w:multiLevelType w:val="hybridMultilevel"/>
    <w:tmpl w:val="ACB29CCA"/>
    <w:lvl w:ilvl="0" w:tplc="9992EED8">
      <w:start w:val="1"/>
      <w:numFmt w:val="decimal"/>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F2900"/>
    <w:multiLevelType w:val="multilevel"/>
    <w:tmpl w:val="5D8E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B252F"/>
    <w:multiLevelType w:val="hybridMultilevel"/>
    <w:tmpl w:val="49A6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DB0"/>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42652"/>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03D80"/>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F4CD2"/>
    <w:multiLevelType w:val="hybridMultilevel"/>
    <w:tmpl w:val="B9EAF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41A77"/>
    <w:multiLevelType w:val="hybridMultilevel"/>
    <w:tmpl w:val="5B2AB9D2"/>
    <w:lvl w:ilvl="0" w:tplc="2BDE534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C3256"/>
    <w:multiLevelType w:val="hybridMultilevel"/>
    <w:tmpl w:val="7504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B2D4E"/>
    <w:multiLevelType w:val="hybridMultilevel"/>
    <w:tmpl w:val="A6FE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522E5D"/>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18692C"/>
    <w:multiLevelType w:val="hybridMultilevel"/>
    <w:tmpl w:val="02527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974F20"/>
    <w:multiLevelType w:val="hybridMultilevel"/>
    <w:tmpl w:val="877C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042D8D"/>
    <w:multiLevelType w:val="hybridMultilevel"/>
    <w:tmpl w:val="6CFA3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AE193A"/>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C1795"/>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7690331">
    <w:abstractNumId w:val="8"/>
  </w:num>
  <w:num w:numId="2" w16cid:durableId="1183322953">
    <w:abstractNumId w:val="2"/>
  </w:num>
  <w:num w:numId="3" w16cid:durableId="591621771">
    <w:abstractNumId w:val="1"/>
  </w:num>
  <w:num w:numId="4" w16cid:durableId="294870610">
    <w:abstractNumId w:val="9"/>
  </w:num>
  <w:num w:numId="5" w16cid:durableId="1464889592">
    <w:abstractNumId w:val="4"/>
  </w:num>
  <w:num w:numId="6" w16cid:durableId="1954093155">
    <w:abstractNumId w:val="11"/>
  </w:num>
  <w:num w:numId="7" w16cid:durableId="1114399205">
    <w:abstractNumId w:val="14"/>
  </w:num>
  <w:num w:numId="8" w16cid:durableId="999037385">
    <w:abstractNumId w:val="15"/>
  </w:num>
  <w:num w:numId="9" w16cid:durableId="1712265906">
    <w:abstractNumId w:val="10"/>
  </w:num>
  <w:num w:numId="10" w16cid:durableId="717364685">
    <w:abstractNumId w:val="16"/>
  </w:num>
  <w:num w:numId="11" w16cid:durableId="1318681996">
    <w:abstractNumId w:val="6"/>
  </w:num>
  <w:num w:numId="12" w16cid:durableId="2071272541">
    <w:abstractNumId w:val="12"/>
  </w:num>
  <w:num w:numId="13" w16cid:durableId="2000496882">
    <w:abstractNumId w:val="17"/>
  </w:num>
  <w:num w:numId="14" w16cid:durableId="2104719064">
    <w:abstractNumId w:val="5"/>
  </w:num>
  <w:num w:numId="15" w16cid:durableId="1689943322">
    <w:abstractNumId w:val="7"/>
  </w:num>
  <w:num w:numId="16" w16cid:durableId="1237010730">
    <w:abstractNumId w:val="0"/>
  </w:num>
  <w:num w:numId="17" w16cid:durableId="83842719">
    <w:abstractNumId w:val="13"/>
  </w:num>
  <w:num w:numId="18" w16cid:durableId="101753617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89"/>
    <w:rsid w:val="00012095"/>
    <w:rsid w:val="000955EE"/>
    <w:rsid w:val="000E1B14"/>
    <w:rsid w:val="000F0878"/>
    <w:rsid w:val="002D0DAD"/>
    <w:rsid w:val="003337C5"/>
    <w:rsid w:val="003670F7"/>
    <w:rsid w:val="003F1091"/>
    <w:rsid w:val="004123F9"/>
    <w:rsid w:val="00424A75"/>
    <w:rsid w:val="004337DF"/>
    <w:rsid w:val="004C793D"/>
    <w:rsid w:val="00534458"/>
    <w:rsid w:val="005B4964"/>
    <w:rsid w:val="005D72A4"/>
    <w:rsid w:val="005F18AA"/>
    <w:rsid w:val="006156C5"/>
    <w:rsid w:val="0065599A"/>
    <w:rsid w:val="006B6853"/>
    <w:rsid w:val="006E2C17"/>
    <w:rsid w:val="00736EE8"/>
    <w:rsid w:val="00765096"/>
    <w:rsid w:val="007C5E0A"/>
    <w:rsid w:val="007F6FC5"/>
    <w:rsid w:val="00832474"/>
    <w:rsid w:val="00852D8A"/>
    <w:rsid w:val="008562D5"/>
    <w:rsid w:val="00870AC5"/>
    <w:rsid w:val="00881846"/>
    <w:rsid w:val="008D4724"/>
    <w:rsid w:val="0095216C"/>
    <w:rsid w:val="00953558"/>
    <w:rsid w:val="00965A42"/>
    <w:rsid w:val="00A76633"/>
    <w:rsid w:val="00AB7944"/>
    <w:rsid w:val="00AD5939"/>
    <w:rsid w:val="00B01CDC"/>
    <w:rsid w:val="00B02443"/>
    <w:rsid w:val="00B232E2"/>
    <w:rsid w:val="00B771AC"/>
    <w:rsid w:val="00B8619C"/>
    <w:rsid w:val="00C75B36"/>
    <w:rsid w:val="00CC3B36"/>
    <w:rsid w:val="00D364FF"/>
    <w:rsid w:val="00D510DE"/>
    <w:rsid w:val="00D9044B"/>
    <w:rsid w:val="00D90FC5"/>
    <w:rsid w:val="00DA2889"/>
    <w:rsid w:val="00DE331F"/>
    <w:rsid w:val="00E31C7C"/>
    <w:rsid w:val="00E57140"/>
    <w:rsid w:val="00E61A9B"/>
    <w:rsid w:val="00E83929"/>
    <w:rsid w:val="00EB1DAA"/>
    <w:rsid w:val="00EB2A50"/>
    <w:rsid w:val="00F202B2"/>
    <w:rsid w:val="00F34DF2"/>
    <w:rsid w:val="00F70549"/>
    <w:rsid w:val="00FB1089"/>
    <w:rsid w:val="00FD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E5B1"/>
  <w15:chartTrackingRefBased/>
  <w15:docId w15:val="{BA8308E3-5CDE-4F94-94A4-EAD29591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2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2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2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2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A2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889"/>
    <w:rPr>
      <w:rFonts w:eastAsiaTheme="majorEastAsia" w:cstheme="majorBidi"/>
      <w:color w:val="272727" w:themeColor="text1" w:themeTint="D8"/>
    </w:rPr>
  </w:style>
  <w:style w:type="paragraph" w:styleId="Title">
    <w:name w:val="Title"/>
    <w:basedOn w:val="Normal"/>
    <w:next w:val="Normal"/>
    <w:link w:val="TitleChar"/>
    <w:uiPriority w:val="10"/>
    <w:qFormat/>
    <w:rsid w:val="00DA2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889"/>
    <w:pPr>
      <w:spacing w:before="160"/>
      <w:jc w:val="center"/>
    </w:pPr>
    <w:rPr>
      <w:i/>
      <w:iCs/>
      <w:color w:val="404040" w:themeColor="text1" w:themeTint="BF"/>
    </w:rPr>
  </w:style>
  <w:style w:type="character" w:customStyle="1" w:styleId="QuoteChar">
    <w:name w:val="Quote Char"/>
    <w:basedOn w:val="DefaultParagraphFont"/>
    <w:link w:val="Quote"/>
    <w:uiPriority w:val="29"/>
    <w:rsid w:val="00DA2889"/>
    <w:rPr>
      <w:i/>
      <w:iCs/>
      <w:color w:val="404040" w:themeColor="text1" w:themeTint="BF"/>
    </w:rPr>
  </w:style>
  <w:style w:type="paragraph" w:styleId="ListParagraph">
    <w:name w:val="List Paragraph"/>
    <w:basedOn w:val="Normal"/>
    <w:uiPriority w:val="34"/>
    <w:qFormat/>
    <w:rsid w:val="00DA2889"/>
    <w:pPr>
      <w:ind w:left="720"/>
      <w:contextualSpacing/>
    </w:pPr>
  </w:style>
  <w:style w:type="character" w:styleId="IntenseEmphasis">
    <w:name w:val="Intense Emphasis"/>
    <w:basedOn w:val="DefaultParagraphFont"/>
    <w:uiPriority w:val="21"/>
    <w:qFormat/>
    <w:rsid w:val="00DA2889"/>
    <w:rPr>
      <w:i/>
      <w:iCs/>
      <w:color w:val="0F4761" w:themeColor="accent1" w:themeShade="BF"/>
    </w:rPr>
  </w:style>
  <w:style w:type="paragraph" w:styleId="IntenseQuote">
    <w:name w:val="Intense Quote"/>
    <w:basedOn w:val="Normal"/>
    <w:next w:val="Normal"/>
    <w:link w:val="IntenseQuoteChar"/>
    <w:uiPriority w:val="30"/>
    <w:qFormat/>
    <w:rsid w:val="00DA2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889"/>
    <w:rPr>
      <w:i/>
      <w:iCs/>
      <w:color w:val="0F4761" w:themeColor="accent1" w:themeShade="BF"/>
    </w:rPr>
  </w:style>
  <w:style w:type="character" w:styleId="IntenseReference">
    <w:name w:val="Intense Reference"/>
    <w:basedOn w:val="DefaultParagraphFont"/>
    <w:uiPriority w:val="32"/>
    <w:qFormat/>
    <w:rsid w:val="00DA2889"/>
    <w:rPr>
      <w:b/>
      <w:bCs/>
      <w:smallCaps/>
      <w:color w:val="0F4761" w:themeColor="accent1" w:themeShade="BF"/>
      <w:spacing w:val="5"/>
    </w:rPr>
  </w:style>
  <w:style w:type="paragraph" w:customStyle="1" w:styleId="msonormal0">
    <w:name w:val="msonormal"/>
    <w:basedOn w:val="Normal"/>
    <w:rsid w:val="00DA288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A28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A2889"/>
    <w:rPr>
      <w:color w:val="0000FF"/>
      <w:u w:val="single"/>
    </w:rPr>
  </w:style>
  <w:style w:type="character" w:styleId="FollowedHyperlink">
    <w:name w:val="FollowedHyperlink"/>
    <w:basedOn w:val="DefaultParagraphFont"/>
    <w:uiPriority w:val="99"/>
    <w:semiHidden/>
    <w:unhideWhenUsed/>
    <w:rsid w:val="00DA2889"/>
    <w:rPr>
      <w:color w:val="800080"/>
      <w:u w:val="single"/>
    </w:rPr>
  </w:style>
  <w:style w:type="character" w:styleId="UnresolvedMention">
    <w:name w:val="Unresolved Mention"/>
    <w:basedOn w:val="DefaultParagraphFont"/>
    <w:uiPriority w:val="99"/>
    <w:semiHidden/>
    <w:unhideWhenUsed/>
    <w:rsid w:val="00DA2889"/>
    <w:rPr>
      <w:color w:val="605E5C"/>
      <w:shd w:val="clear" w:color="auto" w:fill="E1DFDD"/>
    </w:rPr>
  </w:style>
  <w:style w:type="paragraph" w:styleId="Header">
    <w:name w:val="header"/>
    <w:basedOn w:val="Normal"/>
    <w:link w:val="HeaderChar"/>
    <w:uiPriority w:val="99"/>
    <w:unhideWhenUsed/>
    <w:rsid w:val="00534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458"/>
  </w:style>
  <w:style w:type="paragraph" w:styleId="Footer">
    <w:name w:val="footer"/>
    <w:basedOn w:val="Normal"/>
    <w:link w:val="FooterChar"/>
    <w:uiPriority w:val="99"/>
    <w:unhideWhenUsed/>
    <w:rsid w:val="00534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458"/>
  </w:style>
  <w:style w:type="character" w:customStyle="1" w:styleId="mw-reflink-text">
    <w:name w:val="mw-reflink-text"/>
    <w:basedOn w:val="DefaultParagraphFont"/>
    <w:rsid w:val="00E61A9B"/>
  </w:style>
  <w:style w:type="character" w:customStyle="1" w:styleId="cite-bracket">
    <w:name w:val="cite-bracket"/>
    <w:basedOn w:val="DefaultParagraphFont"/>
    <w:rsid w:val="00E61A9B"/>
  </w:style>
  <w:style w:type="character" w:styleId="HTMLCite">
    <w:name w:val="HTML Cite"/>
    <w:basedOn w:val="DefaultParagraphFont"/>
    <w:uiPriority w:val="99"/>
    <w:semiHidden/>
    <w:unhideWhenUsed/>
    <w:rsid w:val="00E61A9B"/>
    <w:rPr>
      <w:i/>
      <w:iCs/>
    </w:rPr>
  </w:style>
  <w:style w:type="paragraph" w:customStyle="1" w:styleId="portalbox-entry">
    <w:name w:val="portalbox-entry"/>
    <w:basedOn w:val="Normal"/>
    <w:rsid w:val="00E61A9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ortalbox-image">
    <w:name w:val="portalbox-image"/>
    <w:basedOn w:val="DefaultParagraphFont"/>
    <w:rsid w:val="00E61A9B"/>
  </w:style>
  <w:style w:type="character" w:customStyle="1" w:styleId="noviewer">
    <w:name w:val="noviewer"/>
    <w:basedOn w:val="DefaultParagraphFont"/>
    <w:rsid w:val="00E61A9B"/>
  </w:style>
  <w:style w:type="character" w:customStyle="1" w:styleId="portalbox-link">
    <w:name w:val="portalbox-link"/>
    <w:basedOn w:val="DefaultParagraphFont"/>
    <w:rsid w:val="00E61A9B"/>
  </w:style>
  <w:style w:type="character" w:customStyle="1" w:styleId="mw-reference-text">
    <w:name w:val="mw-reference-text"/>
    <w:basedOn w:val="DefaultParagraphFont"/>
    <w:rsid w:val="00E61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rything.explained.today/Abutter/" TargetMode="External"/><Relationship Id="rId13" Type="http://schemas.openxmlformats.org/officeDocument/2006/relationships/hyperlink" Target="https://everything.explained.today/Title_(property)/" TargetMode="External"/><Relationship Id="rId18" Type="http://schemas.openxmlformats.org/officeDocument/2006/relationships/hyperlink" Target="https://everything.explained.today/Rights_of_way_in_England_and_Wales/" TargetMode="External"/><Relationship Id="rId26" Type="http://schemas.openxmlformats.org/officeDocument/2006/relationships/hyperlink" Target="https://everything.explained.today/Property_rights/" TargetMode="External"/><Relationship Id="rId3" Type="http://schemas.openxmlformats.org/officeDocument/2006/relationships/settings" Target="settings.xml"/><Relationship Id="rId21" Type="http://schemas.openxmlformats.org/officeDocument/2006/relationships/hyperlink" Target="https://everything.explained.today/Easement/" TargetMode="External"/><Relationship Id="rId7" Type="http://schemas.openxmlformats.org/officeDocument/2006/relationships/hyperlink" Target="https://everything.explained.today/Statute/" TargetMode="External"/><Relationship Id="rId12" Type="http://schemas.openxmlformats.org/officeDocument/2006/relationships/hyperlink" Target="https://everything.explained.today/Informal_settlement/" TargetMode="External"/><Relationship Id="rId17" Type="http://schemas.openxmlformats.org/officeDocument/2006/relationships/hyperlink" Target="https://everything.explained.today/Preemption_Act_of_1841/" TargetMode="External"/><Relationship Id="rId25" Type="http://schemas.openxmlformats.org/officeDocument/2006/relationships/hyperlink" Target="https://everything.explained.today/Property_law/" TargetMode="External"/><Relationship Id="rId2" Type="http://schemas.openxmlformats.org/officeDocument/2006/relationships/styles" Target="styles.xml"/><Relationship Id="rId16" Type="http://schemas.openxmlformats.org/officeDocument/2006/relationships/hyperlink" Target="https://everything.explained.today/Uti_possidetis/" TargetMode="External"/><Relationship Id="rId20" Type="http://schemas.openxmlformats.org/officeDocument/2006/relationships/hyperlink" Target="https://everything.explained.today/Revised_statute_2477/"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erything.explained.today/Appropriation_(economics)/" TargetMode="External"/><Relationship Id="rId24" Type="http://schemas.openxmlformats.org/officeDocument/2006/relationships/hyperlink" Target="https://everything.explained.today/Possession_is_nine-tenths_of_the_law/" TargetMode="External"/><Relationship Id="rId5" Type="http://schemas.openxmlformats.org/officeDocument/2006/relationships/footnotes" Target="footnotes.xml"/><Relationship Id="rId15" Type="http://schemas.openxmlformats.org/officeDocument/2006/relationships/hyperlink" Target="https://everything.explained.today/Usucaption/" TargetMode="External"/><Relationship Id="rId23" Type="http://schemas.openxmlformats.org/officeDocument/2006/relationships/hyperlink" Target="https://everything.explained.today/List_of_real_estate_topics/" TargetMode="External"/><Relationship Id="rId28" Type="http://schemas.openxmlformats.org/officeDocument/2006/relationships/header" Target="header1.xml"/><Relationship Id="rId10" Type="http://schemas.openxmlformats.org/officeDocument/2006/relationships/hyperlink" Target="https://everything.explained.today/Adverse_possession_in_Australia/" TargetMode="External"/><Relationship Id="rId19" Type="http://schemas.openxmlformats.org/officeDocument/2006/relationships/hyperlink" Target="https://everything.explained.today/Usufruc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Bullion_coin" TargetMode="External"/><Relationship Id="rId14" Type="http://schemas.openxmlformats.org/officeDocument/2006/relationships/hyperlink" Target="https://everything.explained.today/Squatting/" TargetMode="External"/><Relationship Id="rId22" Type="http://schemas.openxmlformats.org/officeDocument/2006/relationships/hyperlink" Target="https://everything.explained.today/Lien/" TargetMode="External"/><Relationship Id="rId27" Type="http://schemas.openxmlformats.org/officeDocument/2006/relationships/hyperlink" Target="https://everything.explained.today/Deed/" TargetMode="External"/><Relationship Id="rId30" Type="http://schemas.openxmlformats.org/officeDocument/2006/relationships/fontTable" Target="fontTable.xml"/><Relationship Id="rId32" Type="http://schemas.openxmlformats.org/officeDocument/2006/relationships/image" Target="media/image1.jpg"/><Relationship Id="rId33"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20</Pages>
  <Words>14288</Words>
  <Characters>81446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Adverse Possession — The Real Rules, The Real Cases</dc:title>
  <dc:subject>Enhanced edition: original verbatim + research dossier (Word)</dc:subject>
  <dc:creator>The Reinvention of New York — Fictive Documents Archive</dc:creator>
  <cp:keywords/>
  <dc:description/>
  <cp:lastModifiedBy>Vic Acosta</cp:lastModifiedBy>
  <cp:revision>8</cp:revision>
  <dcterms:created xsi:type="dcterms:W3CDTF">2026-10-11T01:24:00Z</dcterms:created>
  <dcterms:modified xsi:type="dcterms:W3CDTF">2026-10-12T18:35:00Z</dcterms:modified>
</cp:coreProperties>
</file>