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Sedition Disclaimer — Law Checked Line by Line</w:t>
      </w:r>
    </w:p>
    <w:p>
      <w:pPr>
        <w:jc w:val="center"/>
      </w:pPr>
      <w:r>
        <w:rPr>
          <w:rFonts w:ascii="Montserrat" w:hAnsi="Montserrat" w:cs="Montserrat"/>
          <w:b w:val="0"/>
          <w:i w:val="0"/>
          <w:color w:val="4A5568"/>
          <w:sz w:val="17"/>
        </w:rPr>
        <w:t>The Legal Memoranda</w:t>
      </w:r>
    </w:p>
    <w:p>
      <w:pPr>
        <w:jc w:val="center"/>
      </w:pPr>
      <w:r>
        <w:rPr>
          <w:rFonts w:ascii="EB Garamond" w:hAnsi="EB Garamond" w:cs="EB Garamond"/>
          <w:b w:val="0"/>
          <w:i/>
          <w:color w:val="4A5568"/>
          <w:sz w:val="23"/>
        </w:rPr>
        <w:t>The statute and case law behind every legal term the disclaimer uses — from the Jan. 6 seditious-conspiracy convictions to the two-witness rule for treason — plus what an L3C actually is, and where the memo's citations stop being law.</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An 'administrative disclaimer' by a self-described Foreign Sovereign: correct definitions of 18 U.S.C. § 2384 and Article III treason, wrapped around claims of non-subjection to U.S. law.</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DISCLAIMER - Seditious Conspiracy &amp; Treason via L3C formation.docx</w:t>
      </w:r>
    </w:p>
    <w:p w14:paraId="695AFDC5" w14:textId="2D6690CB" w:rsidR="00FD0CEA" w:rsidRDefault="00293A94" w:rsidP="00FD0CE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 xml:space="preserve">ADMINISTRATIVE </w:t>
      </w:r>
      <w:r w:rsidR="00FD0CEA">
        <w:rPr>
          <w:rFonts w:ascii="Times New Roman" w:hAnsi="Times New Roman" w:cs="Times New Roman"/>
          <w:sz w:val="20"/>
          <w:szCs w:val="20"/>
        </w:rPr>
        <w:t>DISCLAIMER</w:t>
      </w:r>
      <w:r w:rsidR="0072224A">
        <w:rPr>
          <w:rFonts w:ascii="Times New Roman" w:hAnsi="Times New Roman" w:cs="Times New Roman"/>
          <w:sz w:val="20"/>
          <w:szCs w:val="20"/>
        </w:rPr>
        <w:t>: Seditious Conspiracy &amp; Treason</w:t>
      </w:r>
      <w:r w:rsidR="0066702A">
        <w:rPr>
          <w:rFonts w:ascii="Times New Roman" w:hAnsi="Times New Roman" w:cs="Times New Roman"/>
          <w:sz w:val="20"/>
          <w:szCs w:val="20"/>
        </w:rPr>
        <w:t xml:space="preserve"> via </w:t>
      </w:r>
      <w:r w:rsidR="00E64A31" w:rsidRPr="00E64A31">
        <w:rPr>
          <w:rFonts w:ascii="Times New Roman" w:hAnsi="Times New Roman" w:cs="Times New Roman"/>
          <w:b/>
          <w:bCs/>
          <w:sz w:val="20"/>
          <w:szCs w:val="20"/>
        </w:rPr>
        <w:t>HYBRID</w:t>
      </w:r>
      <w:r w:rsidR="00E64A31">
        <w:rPr>
          <w:rFonts w:ascii="Times New Roman" w:hAnsi="Times New Roman" w:cs="Times New Roman"/>
          <w:sz w:val="20"/>
          <w:szCs w:val="20"/>
        </w:rPr>
        <w:t xml:space="preserve"> </w:t>
      </w:r>
      <w:r w:rsidR="0066702A">
        <w:rPr>
          <w:rFonts w:ascii="Times New Roman" w:hAnsi="Times New Roman" w:cs="Times New Roman"/>
          <w:sz w:val="20"/>
          <w:szCs w:val="20"/>
        </w:rPr>
        <w:t>L3C formation</w:t>
      </w:r>
    </w:p>
    <w:p w14:paraId="62C654B1" w14:textId="77777777"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Seditious Conspiracy - </w:t>
      </w:r>
      <w:r w:rsidRPr="00FD0CEA">
        <w:rPr>
          <w:rFonts w:ascii="Times New Roman" w:hAnsi="Times New Roman" w:cs="Times New Roman"/>
          <w:sz w:val="18"/>
          <w:szCs w:val="18"/>
        </w:rPr>
        <w:t>18 U.S.C. § 2384 - Agreeing to use force against the government. No foreign enemy needed. Maximum penalty: 20 years in prison.</w:t>
      </w:r>
    </w:p>
    <w:p w14:paraId="6DABFA3E" w14:textId="33C26F3C"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Treason - </w:t>
      </w:r>
      <w:r w:rsidRPr="00FD0CEA">
        <w:rPr>
          <w:rFonts w:ascii="Times New Roman" w:hAnsi="Times New Roman" w:cs="Times New Roman"/>
          <w:sz w:val="18"/>
          <w:szCs w:val="18"/>
        </w:rPr>
        <w:t xml:space="preserve">Article III, Section 3 of the Constitution - Levying war or aiding enemies of the </w:t>
      </w:r>
      <w:proofErr w:type="gramStart"/>
      <w:r w:rsidRPr="00FD0CEA">
        <w:rPr>
          <w:rFonts w:ascii="Times New Roman" w:hAnsi="Times New Roman" w:cs="Times New Roman"/>
          <w:sz w:val="18"/>
          <w:szCs w:val="18"/>
        </w:rPr>
        <w:t>U.S..</w:t>
      </w:r>
      <w:proofErr w:type="gramEnd"/>
      <w:r w:rsidRPr="00FD0CEA">
        <w:rPr>
          <w:rFonts w:ascii="Times New Roman" w:hAnsi="Times New Roman" w:cs="Times New Roman"/>
          <w:sz w:val="18"/>
          <w:szCs w:val="18"/>
        </w:rPr>
        <w:t xml:space="preserve"> Treason is the only crime defined in the U.S. Constitution itself.  </w:t>
      </w:r>
      <w:r w:rsidR="00E64A31">
        <w:rPr>
          <w:rFonts w:ascii="Times New Roman" w:hAnsi="Times New Roman" w:cs="Times New Roman"/>
          <w:sz w:val="18"/>
          <w:szCs w:val="18"/>
        </w:rPr>
        <w:t>R</w:t>
      </w:r>
      <w:r w:rsidRPr="00FD0CEA">
        <w:rPr>
          <w:rFonts w:ascii="Times New Roman" w:hAnsi="Times New Roman" w:cs="Times New Roman"/>
          <w:sz w:val="18"/>
          <w:szCs w:val="18"/>
        </w:rPr>
        <w:t>equires aid to a declared enemy nation. Death or minimum 5 years in prison.</w:t>
      </w:r>
    </w:p>
    <w:p w14:paraId="79AC0498" w14:textId="5BC4F36D" w:rsidR="00FD0CEA" w:rsidRPr="00FD0CEA" w:rsidRDefault="00FD0CEA" w:rsidP="00FD0CEA">
      <w:pPr>
        <w:pStyle w:val="ListParagraph"/>
        <w:numPr>
          <w:ilvl w:val="0"/>
          <w:numId w:val="5"/>
        </w:numPr>
        <w:spacing w:line="240" w:lineRule="auto"/>
        <w:jc w:val="both"/>
        <w:rPr>
          <w:rFonts w:ascii="Times New Roman" w:hAnsi="Times New Roman" w:cs="Times New Roman"/>
          <w:sz w:val="18"/>
          <w:szCs w:val="18"/>
        </w:rPr>
      </w:pPr>
      <w:r w:rsidRPr="00FD0CEA">
        <w:rPr>
          <w:rFonts w:ascii="Times New Roman" w:hAnsi="Times New Roman" w:cs="Times New Roman"/>
          <w:sz w:val="18"/>
          <w:szCs w:val="18"/>
        </w:rPr>
        <w:t xml:space="preserve">Seditious conspiracy means two or more people agree to overthrow, oppose by force, or wage war against the United States government. In legal terms, it is a federal crime defined under 18 U.S.C. § 2384, punishable by up to 20 years in prison. Understanding what this term </w:t>
      </w:r>
      <w:proofErr w:type="gramStart"/>
      <w:r w:rsidRPr="00FD0CEA">
        <w:rPr>
          <w:rFonts w:ascii="Times New Roman" w:hAnsi="Times New Roman" w:cs="Times New Roman"/>
          <w:sz w:val="18"/>
          <w:szCs w:val="18"/>
        </w:rPr>
        <w:t>actually means</w:t>
      </w:r>
      <w:proofErr w:type="gramEnd"/>
      <w:r w:rsidRPr="00FD0CEA">
        <w:rPr>
          <w:rFonts w:ascii="Times New Roman" w:hAnsi="Times New Roman" w:cs="Times New Roman"/>
          <w:sz w:val="18"/>
          <w:szCs w:val="18"/>
        </w:rPr>
        <w:t xml:space="preserve"> helps you understand where the line falls between lawful protest and criminal conspiracy. The word "seditious" comes from "sedition," which broadly means inciting rebellion against governmental authority. Adding "conspiracy" means the crime focuses on the agreement itself, not just the final act. The goal was to overthrow, levy war, oppose authority, or </w:t>
      </w:r>
      <w:r w:rsidRPr="00E64A31">
        <w:rPr>
          <w:rFonts w:ascii="Times New Roman" w:hAnsi="Times New Roman" w:cs="Times New Roman"/>
          <w:b/>
          <w:bCs/>
          <w:i/>
          <w:iCs/>
          <w:sz w:val="18"/>
          <w:szCs w:val="18"/>
        </w:rPr>
        <w:t>seize government property</w:t>
      </w:r>
      <w:r w:rsidRPr="00FD0CEA">
        <w:rPr>
          <w:rFonts w:ascii="Times New Roman" w:hAnsi="Times New Roman" w:cs="Times New Roman"/>
          <w:sz w:val="18"/>
          <w:szCs w:val="18"/>
        </w:rPr>
        <w:t xml:space="preserve">, wherein involved party knowingly and willfully joined the conspiracy. Prosecution does not need to prove that violence </w:t>
      </w:r>
      <w:proofErr w:type="gramStart"/>
      <w:r w:rsidRPr="00FD0CEA">
        <w:rPr>
          <w:rFonts w:ascii="Times New Roman" w:hAnsi="Times New Roman" w:cs="Times New Roman"/>
          <w:sz w:val="18"/>
          <w:szCs w:val="18"/>
        </w:rPr>
        <w:t>actually occurred</w:t>
      </w:r>
      <w:proofErr w:type="gramEnd"/>
      <w:r w:rsidRPr="00FD0CEA">
        <w:rPr>
          <w:rFonts w:ascii="Times New Roman" w:hAnsi="Times New Roman" w:cs="Times New Roman"/>
          <w:sz w:val="18"/>
          <w:szCs w:val="18"/>
        </w:rPr>
        <w:t xml:space="preserve">. Proving the agreement and intent is sufficient. One does not need to succeed. You do not even need to carry out the plan. The crime is the agreement itself, combined with intent. The First Amendment protects your right to criticize the government. </w:t>
      </w:r>
      <w:r w:rsidR="00E64A31">
        <w:rPr>
          <w:rFonts w:ascii="Times New Roman" w:hAnsi="Times New Roman" w:cs="Times New Roman"/>
          <w:sz w:val="18"/>
          <w:szCs w:val="18"/>
        </w:rPr>
        <w:t>However, i</w:t>
      </w:r>
      <w:r w:rsidRPr="00FD0CEA">
        <w:rPr>
          <w:rFonts w:ascii="Times New Roman" w:hAnsi="Times New Roman" w:cs="Times New Roman"/>
          <w:sz w:val="18"/>
          <w:szCs w:val="18"/>
        </w:rPr>
        <w:t xml:space="preserve">t does not protect </w:t>
      </w:r>
      <w:proofErr w:type="gramStart"/>
      <w:r w:rsidRPr="00FD0CEA">
        <w:rPr>
          <w:rFonts w:ascii="Times New Roman" w:hAnsi="Times New Roman" w:cs="Times New Roman"/>
          <w:sz w:val="18"/>
          <w:szCs w:val="18"/>
        </w:rPr>
        <w:t>a plan</w:t>
      </w:r>
      <w:proofErr w:type="gramEnd"/>
      <w:r w:rsidRPr="00FD0CEA">
        <w:rPr>
          <w:rFonts w:ascii="Times New Roman" w:hAnsi="Times New Roman" w:cs="Times New Roman"/>
          <w:sz w:val="18"/>
          <w:szCs w:val="18"/>
        </w:rPr>
        <w:t xml:space="preserve"> to attack it. Evidence often includes communications, recordings, weapons purchases, and witness testimony from cooperating co-conspirators.</w:t>
      </w:r>
    </w:p>
    <w:p w14:paraId="1E0502A8" w14:textId="77777777" w:rsidR="0084094C" w:rsidRPr="0084094C" w:rsidRDefault="0084094C" w:rsidP="0084094C">
      <w:pPr>
        <w:jc w:val="both"/>
        <w:rPr>
          <w:rFonts w:ascii="Times New Roman" w:hAnsi="Times New Roman" w:cs="Times New Roman"/>
          <w:b/>
          <w:bCs/>
          <w:sz w:val="18"/>
          <w:szCs w:val="18"/>
          <w:lang w:bidi="en-US"/>
        </w:rPr>
      </w:pPr>
      <w:r w:rsidRPr="0084094C">
        <w:rPr>
          <w:rFonts w:ascii="Times New Roman" w:hAnsi="Times New Roman" w:cs="Times New Roman"/>
          <w:sz w:val="18"/>
          <w:szCs w:val="18"/>
          <w:lang w:bidi="en-US"/>
        </w:rPr>
        <w:t>The U.S. Secretary of State is the “</w:t>
      </w:r>
      <w:r w:rsidRPr="0084094C">
        <w:rPr>
          <w:rFonts w:ascii="Times New Roman" w:hAnsi="Times New Roman" w:cs="Times New Roman"/>
          <w:b/>
          <w:bCs/>
          <w:sz w:val="18"/>
          <w:szCs w:val="18"/>
          <w:lang w:bidi="en-US"/>
        </w:rPr>
        <w:t>Archivist</w:t>
      </w:r>
      <w:r w:rsidRPr="0084094C">
        <w:rPr>
          <w:rFonts w:ascii="Times New Roman" w:hAnsi="Times New Roman" w:cs="Times New Roman"/>
          <w:sz w:val="18"/>
          <w:szCs w:val="18"/>
          <w:lang w:bidi="en-US"/>
        </w:rPr>
        <w:t xml:space="preserve">” of legal titles of “The People”, i.e., the “Beneficiaries” of the Estate Trust and holder of title for the ‘beneficiaries’ domiciled in Washington, D.C., </w:t>
      </w:r>
      <w:proofErr w:type="gramStart"/>
      <w:r w:rsidRPr="0084094C">
        <w:rPr>
          <w:rFonts w:ascii="Times New Roman" w:hAnsi="Times New Roman" w:cs="Times New Roman"/>
          <w:sz w:val="18"/>
          <w:szCs w:val="18"/>
          <w:lang w:bidi="en-US"/>
        </w:rPr>
        <w:t>U.S..</w:t>
      </w:r>
      <w:proofErr w:type="gramEnd"/>
    </w:p>
    <w:p w14:paraId="41439B55" w14:textId="77777777" w:rsidR="0084094C" w:rsidRPr="0084094C" w:rsidRDefault="0084094C" w:rsidP="0084094C">
      <w:pPr>
        <w:pStyle w:val="ListParagraph"/>
        <w:jc w:val="both"/>
        <w:rPr>
          <w:rFonts w:ascii="Times New Roman" w:hAnsi="Times New Roman" w:cs="Times New Roman"/>
          <w:b/>
          <w:bCs/>
          <w:sz w:val="18"/>
          <w:szCs w:val="18"/>
        </w:rPr>
      </w:pPr>
      <w:r w:rsidRPr="00E64A31">
        <w:rPr>
          <w:rFonts w:ascii="Times New Roman" w:hAnsi="Times New Roman" w:cs="Times New Roman"/>
          <w:b/>
          <w:bCs/>
          <w:sz w:val="20"/>
          <w:szCs w:val="20"/>
          <w:u w:val="single"/>
        </w:rPr>
        <w:t>The right "to petition the Government for a redress of grievances" is guaranteed by the United States Constitution's First Amendment</w:t>
      </w:r>
      <w:r w:rsidRPr="0084094C">
        <w:rPr>
          <w:rFonts w:ascii="Times New Roman" w:hAnsi="Times New Roman" w:cs="Times New Roman"/>
          <w:sz w:val="18"/>
          <w:szCs w:val="18"/>
        </w:rPr>
        <w:t>.</w:t>
      </w:r>
    </w:p>
    <w:p w14:paraId="2571C424" w14:textId="1860F407" w:rsidR="00FD0CEA" w:rsidRPr="00DB58C6"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I: </w:t>
      </w:r>
      <w:r w:rsidR="00293A94">
        <w:rPr>
          <w:rFonts w:ascii="Times New Roman" w:hAnsi="Times New Roman" w:cs="Times New Roman"/>
          <w:sz w:val="20"/>
          <w:szCs w:val="20"/>
        </w:rPr>
        <w:t>Philomen-Anabelle: McFee</w:t>
      </w:r>
      <w:r w:rsidRPr="00702BE8">
        <w:rPr>
          <w:rFonts w:ascii="Times New Roman" w:hAnsi="Times New Roman" w:cs="Times New Roman"/>
          <w:sz w:val="20"/>
          <w:szCs w:val="20"/>
        </w:rPr>
        <w:t>©, the</w:t>
      </w:r>
      <w:r>
        <w:rPr>
          <w:rFonts w:ascii="Times New Roman" w:hAnsi="Times New Roman" w:cs="Times New Roman"/>
          <w:sz w:val="20"/>
          <w:szCs w:val="20"/>
        </w:rPr>
        <w:t xml:space="preserve"> duly authorized advocate, for </w:t>
      </w:r>
      <w:r w:rsidR="00293A94">
        <w:rPr>
          <w:rFonts w:ascii="Times New Roman" w:hAnsi="Times New Roman" w:cs="Times New Roman"/>
          <w:sz w:val="20"/>
          <w:szCs w:val="20"/>
        </w:rPr>
        <w:t>MCFEE, PHILOMEN ANABELLE,</w:t>
      </w:r>
      <w:r>
        <w:rPr>
          <w:rFonts w:ascii="Times New Roman" w:hAnsi="Times New Roman" w:cs="Times New Roman"/>
          <w:sz w:val="20"/>
          <w:szCs w:val="20"/>
        </w:rPr>
        <w:t xml:space="preserve"> am</w:t>
      </w:r>
      <w:r w:rsidRPr="00DB58C6">
        <w:rPr>
          <w:rFonts w:ascii="Times New Roman" w:hAnsi="Times New Roman" w:cs="Times New Roman"/>
          <w:sz w:val="20"/>
          <w:szCs w:val="20"/>
        </w:rPr>
        <w:t xml:space="preserve"> herein publishing </w:t>
      </w:r>
      <w:r w:rsidRPr="00DB58C6">
        <w:rPr>
          <w:rFonts w:ascii="Times New Roman" w:hAnsi="Times New Roman" w:cs="Times New Roman"/>
          <w:bCs/>
          <w:sz w:val="20"/>
          <w:szCs w:val="20"/>
        </w:rPr>
        <w:t xml:space="preserve">MANDATORY NOTICE that </w:t>
      </w:r>
      <w:r>
        <w:rPr>
          <w:rFonts w:ascii="Times New Roman" w:hAnsi="Times New Roman" w:cs="Times New Roman"/>
          <w:bCs/>
          <w:sz w:val="20"/>
          <w:szCs w:val="20"/>
        </w:rPr>
        <w:t>I am a</w:t>
      </w:r>
      <w:r w:rsidRPr="00DB58C6">
        <w:rPr>
          <w:rFonts w:ascii="Times New Roman" w:hAnsi="Times New Roman" w:cs="Times New Roman"/>
          <w:bCs/>
          <w:sz w:val="20"/>
          <w:szCs w:val="20"/>
        </w:rPr>
        <w:t xml:space="preserve"> Foreign Sovereign </w:t>
      </w:r>
      <w:r>
        <w:rPr>
          <w:rFonts w:ascii="Times New Roman" w:hAnsi="Times New Roman" w:cs="Times New Roman"/>
          <w:bCs/>
          <w:sz w:val="20"/>
          <w:szCs w:val="20"/>
        </w:rPr>
        <w:t xml:space="preserve">operating within </w:t>
      </w:r>
      <w:r w:rsidRPr="00DB58C6">
        <w:rPr>
          <w:rFonts w:ascii="Times New Roman" w:hAnsi="Times New Roman" w:cs="Times New Roman"/>
          <w:sz w:val="20"/>
          <w:szCs w:val="20"/>
        </w:rPr>
        <w:t xml:space="preserve">the Territorial </w:t>
      </w:r>
      <w:r w:rsidRPr="00DB58C6">
        <w:rPr>
          <w:rFonts w:ascii="Times New Roman" w:hAnsi="Times New Roman" w:cs="Times New Roman"/>
          <w:bCs/>
          <w:sz w:val="20"/>
          <w:szCs w:val="20"/>
        </w:rPr>
        <w:t>United States of America and the Municipal United States.</w:t>
      </w:r>
      <w:r w:rsidRPr="00DB58C6">
        <w:rPr>
          <w:rFonts w:ascii="Times New Roman" w:hAnsi="Times New Roman" w:cs="Times New Roman"/>
          <w:sz w:val="20"/>
          <w:szCs w:val="20"/>
        </w:rPr>
        <w:t xml:space="preserve"> </w:t>
      </w:r>
      <w:r>
        <w:rPr>
          <w:rFonts w:ascii="Times New Roman" w:hAnsi="Times New Roman" w:cs="Times New Roman"/>
          <w:sz w:val="20"/>
          <w:szCs w:val="20"/>
        </w:rPr>
        <w:t>I AM</w:t>
      </w:r>
      <w:r w:rsidRPr="00DB58C6">
        <w:rPr>
          <w:rFonts w:ascii="Times New Roman" w:hAnsi="Times New Roman" w:cs="Times New Roman"/>
          <w:sz w:val="20"/>
          <w:szCs w:val="20"/>
        </w:rPr>
        <w:t xml:space="preserve"> </w:t>
      </w:r>
      <w:r w:rsidRPr="00DB58C6">
        <w:rPr>
          <w:rFonts w:ascii="Times New Roman" w:hAnsi="Times New Roman" w:cs="Times New Roman"/>
          <w:bCs/>
          <w:sz w:val="20"/>
          <w:szCs w:val="20"/>
        </w:rPr>
        <w:t>not subject</w:t>
      </w:r>
      <w:r w:rsidRPr="00DB58C6">
        <w:rPr>
          <w:rFonts w:ascii="Times New Roman" w:hAnsi="Times New Roman" w:cs="Times New Roman"/>
          <w:sz w:val="20"/>
          <w:szCs w:val="20"/>
        </w:rPr>
        <w:t xml:space="preserve"> to Territorial or Municipal United States</w:t>
      </w:r>
      <w:r>
        <w:rPr>
          <w:rFonts w:ascii="Times New Roman" w:hAnsi="Times New Roman" w:cs="Times New Roman"/>
          <w:sz w:val="20"/>
          <w:szCs w:val="20"/>
        </w:rPr>
        <w:t xml:space="preserve"> political policies nor local</w:t>
      </w:r>
      <w:r w:rsidRPr="00DB58C6">
        <w:rPr>
          <w:rFonts w:ascii="Times New Roman" w:hAnsi="Times New Roman" w:cs="Times New Roman"/>
          <w:sz w:val="20"/>
          <w:szCs w:val="20"/>
        </w:rPr>
        <w:t xml:space="preserve"> law</w:t>
      </w:r>
      <w:r>
        <w:rPr>
          <w:rFonts w:ascii="Times New Roman" w:hAnsi="Times New Roman" w:cs="Times New Roman"/>
          <w:sz w:val="20"/>
          <w:szCs w:val="20"/>
        </w:rPr>
        <w:t>s</w:t>
      </w:r>
      <w:r w:rsidRPr="00DB58C6">
        <w:rPr>
          <w:rFonts w:ascii="Times New Roman" w:hAnsi="Times New Roman" w:cs="Times New Roman"/>
          <w:sz w:val="20"/>
          <w:szCs w:val="20"/>
        </w:rPr>
        <w:t xml:space="preserve"> and </w:t>
      </w:r>
      <w:r>
        <w:rPr>
          <w:rFonts w:ascii="Times New Roman" w:hAnsi="Times New Roman" w:cs="Times New Roman"/>
          <w:sz w:val="20"/>
          <w:szCs w:val="20"/>
        </w:rPr>
        <w:t>am</w:t>
      </w:r>
      <w:r w:rsidRPr="00DB58C6">
        <w:rPr>
          <w:rFonts w:ascii="Times New Roman" w:hAnsi="Times New Roman" w:cs="Times New Roman"/>
          <w:sz w:val="20"/>
          <w:szCs w:val="20"/>
        </w:rPr>
        <w:t xml:space="preserve"> owed </w:t>
      </w:r>
      <w:r w:rsidRPr="00DB58C6">
        <w:rPr>
          <w:rFonts w:ascii="Times New Roman" w:hAnsi="Times New Roman" w:cs="Times New Roman"/>
          <w:bCs/>
          <w:sz w:val="20"/>
          <w:szCs w:val="20"/>
        </w:rPr>
        <w:t>The Law of Peace,</w:t>
      </w:r>
      <w:r w:rsidRPr="00DB58C6">
        <w:rPr>
          <w:rFonts w:ascii="Times New Roman" w:hAnsi="Times New Roman" w:cs="Times New Roman"/>
          <w:sz w:val="20"/>
          <w:szCs w:val="20"/>
        </w:rPr>
        <w:t xml:space="preserve"> </w:t>
      </w:r>
      <w:r>
        <w:rPr>
          <w:rFonts w:ascii="Times New Roman" w:hAnsi="Times New Roman" w:cs="Times New Roman"/>
          <w:sz w:val="20"/>
          <w:szCs w:val="20"/>
        </w:rPr>
        <w:t xml:space="preserve">pursuant to </w:t>
      </w:r>
      <w:r w:rsidRPr="00DB58C6">
        <w:rPr>
          <w:rFonts w:ascii="Times New Roman" w:hAnsi="Times New Roman" w:cs="Times New Roman"/>
          <w:sz w:val="20"/>
          <w:szCs w:val="20"/>
        </w:rPr>
        <w:t xml:space="preserve">Department of the Army Pamphlet 27-161-1, from all Territorial and Municipal Officers and employees who </w:t>
      </w:r>
      <w:r>
        <w:rPr>
          <w:rFonts w:ascii="Times New Roman" w:hAnsi="Times New Roman" w:cs="Times New Roman"/>
          <w:sz w:val="20"/>
          <w:szCs w:val="20"/>
        </w:rPr>
        <w:t>lack lawful</w:t>
      </w:r>
      <w:r w:rsidRPr="00DB58C6">
        <w:rPr>
          <w:rFonts w:ascii="Times New Roman" w:hAnsi="Times New Roman" w:cs="Times New Roman"/>
          <w:sz w:val="20"/>
          <w:szCs w:val="20"/>
        </w:rPr>
        <w:t xml:space="preserve"> permission to approach or address </w:t>
      </w:r>
      <w:r>
        <w:rPr>
          <w:rFonts w:ascii="Times New Roman" w:hAnsi="Times New Roman" w:cs="Times New Roman"/>
          <w:sz w:val="20"/>
          <w:szCs w:val="20"/>
        </w:rPr>
        <w:t>me/us</w:t>
      </w:r>
      <w:r w:rsidRPr="00DB58C6">
        <w:rPr>
          <w:rFonts w:ascii="Times New Roman" w:hAnsi="Times New Roman" w:cs="Times New Roman"/>
          <w:sz w:val="20"/>
          <w:szCs w:val="20"/>
        </w:rPr>
        <w:t xml:space="preserve">. </w:t>
      </w:r>
    </w:p>
    <w:p w14:paraId="187E5C71" w14:textId="335A6AF6" w:rsidR="00FD0CEA" w:rsidRPr="00DB58C6" w:rsidRDefault="009F7538"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A DEMAND is herein being made for a full refund of ALL malappropriated SALT taxes, and a</w:t>
      </w:r>
      <w:r w:rsidR="00FD0CEA" w:rsidRPr="00DB58C6">
        <w:rPr>
          <w:rFonts w:ascii="Times New Roman" w:hAnsi="Times New Roman" w:cs="Times New Roman"/>
          <w:sz w:val="20"/>
          <w:szCs w:val="20"/>
        </w:rPr>
        <w:t xml:space="preserve">ny harm resulting from </w:t>
      </w:r>
      <w:r w:rsidR="00FD0CEA">
        <w:rPr>
          <w:rFonts w:ascii="Times New Roman" w:hAnsi="Times New Roman" w:cs="Times New Roman"/>
          <w:sz w:val="20"/>
          <w:szCs w:val="20"/>
        </w:rPr>
        <w:t xml:space="preserve">further </w:t>
      </w:r>
      <w:r w:rsidR="00FD0CEA" w:rsidRPr="00DB58C6">
        <w:rPr>
          <w:rFonts w:ascii="Times New Roman" w:hAnsi="Times New Roman" w:cs="Times New Roman"/>
          <w:sz w:val="20"/>
          <w:szCs w:val="20"/>
        </w:rPr>
        <w:t xml:space="preserve">trespass upon </w:t>
      </w:r>
      <w:r w:rsidR="00FD0CEA">
        <w:rPr>
          <w:rFonts w:ascii="Times New Roman" w:hAnsi="Times New Roman" w:cs="Times New Roman"/>
          <w:sz w:val="20"/>
          <w:szCs w:val="20"/>
        </w:rPr>
        <w:t xml:space="preserve">my/our private and or real property, including </w:t>
      </w:r>
      <w:r w:rsidR="00FD0CEA" w:rsidRPr="00DB58C6">
        <w:rPr>
          <w:rFonts w:ascii="Times New Roman" w:hAnsi="Times New Roman" w:cs="Times New Roman"/>
          <w:sz w:val="20"/>
          <w:szCs w:val="20"/>
        </w:rPr>
        <w:t xml:space="preserve">the </w:t>
      </w:r>
      <w:r w:rsidR="00FD0CEA">
        <w:rPr>
          <w:rFonts w:ascii="Times New Roman" w:hAnsi="Times New Roman" w:cs="Times New Roman"/>
          <w:sz w:val="20"/>
          <w:szCs w:val="20"/>
        </w:rPr>
        <w:t xml:space="preserve">unauthorized </w:t>
      </w:r>
      <w:r w:rsidR="00FD0CEA" w:rsidRPr="00DB58C6">
        <w:rPr>
          <w:rFonts w:ascii="Times New Roman" w:hAnsi="Times New Roman" w:cs="Times New Roman"/>
          <w:sz w:val="20"/>
          <w:szCs w:val="20"/>
        </w:rPr>
        <w:t xml:space="preserve">use of </w:t>
      </w:r>
      <w:r w:rsidR="00FD0CEA">
        <w:rPr>
          <w:rFonts w:ascii="Times New Roman" w:hAnsi="Times New Roman" w:cs="Times New Roman"/>
          <w:sz w:val="20"/>
          <w:szCs w:val="20"/>
        </w:rPr>
        <w:t>my/our trade</w:t>
      </w:r>
      <w:r w:rsidR="00FD0CEA" w:rsidRPr="00DB58C6">
        <w:rPr>
          <w:rFonts w:ascii="Times New Roman" w:hAnsi="Times New Roman" w:cs="Times New Roman"/>
          <w:sz w:val="20"/>
          <w:szCs w:val="20"/>
        </w:rPr>
        <w:t>names</w:t>
      </w:r>
      <w:r>
        <w:rPr>
          <w:rFonts w:ascii="Times New Roman" w:hAnsi="Times New Roman" w:cs="Times New Roman"/>
          <w:sz w:val="20"/>
          <w:szCs w:val="20"/>
        </w:rPr>
        <w:t xml:space="preserve">, </w:t>
      </w:r>
      <w:r w:rsidR="00FD0CEA" w:rsidRPr="00DB58C6">
        <w:rPr>
          <w:rFonts w:ascii="Times New Roman" w:hAnsi="Times New Roman" w:cs="Times New Roman"/>
          <w:sz w:val="20"/>
          <w:szCs w:val="20"/>
        </w:rPr>
        <w:t>or titles related to them shall be subject to full commercial liability</w:t>
      </w:r>
      <w:r w:rsidR="00E64A31">
        <w:rPr>
          <w:rFonts w:ascii="Times New Roman" w:hAnsi="Times New Roman" w:cs="Times New Roman"/>
          <w:sz w:val="20"/>
          <w:szCs w:val="20"/>
        </w:rPr>
        <w:t>, i.e., a tort cause of action</w:t>
      </w:r>
      <w:r w:rsidR="00FD0CEA" w:rsidRPr="00DB58C6">
        <w:rPr>
          <w:rFonts w:ascii="Times New Roman" w:hAnsi="Times New Roman" w:cs="Times New Roman"/>
          <w:sz w:val="20"/>
          <w:szCs w:val="20"/>
        </w:rPr>
        <w:t xml:space="preserve"> </w:t>
      </w:r>
      <w:r>
        <w:rPr>
          <w:rFonts w:ascii="Times New Roman" w:hAnsi="Times New Roman" w:cs="Times New Roman"/>
          <w:sz w:val="20"/>
          <w:szCs w:val="20"/>
        </w:rPr>
        <w:t xml:space="preserve">with </w:t>
      </w:r>
      <w:r w:rsidR="00FD0CEA" w:rsidRPr="00DB58C6">
        <w:rPr>
          <w:rFonts w:ascii="Times New Roman" w:hAnsi="Times New Roman" w:cs="Times New Roman"/>
          <w:sz w:val="20"/>
          <w:szCs w:val="20"/>
        </w:rPr>
        <w:t xml:space="preserve">penalties </w:t>
      </w:r>
      <w:r>
        <w:rPr>
          <w:rFonts w:ascii="Times New Roman" w:hAnsi="Times New Roman" w:cs="Times New Roman"/>
          <w:sz w:val="20"/>
          <w:szCs w:val="20"/>
        </w:rPr>
        <w:t xml:space="preserve">and damages </w:t>
      </w:r>
      <w:r w:rsidR="00FD0CEA" w:rsidRPr="00DB58C6">
        <w:rPr>
          <w:rFonts w:ascii="Times New Roman" w:hAnsi="Times New Roman" w:cs="Times New Roman"/>
          <w:sz w:val="20"/>
          <w:szCs w:val="20"/>
        </w:rPr>
        <w:t>pursuant to 18 U.S.C. 2333, 18 U.S.C. 1341 and 1342.</w:t>
      </w:r>
    </w:p>
    <w:p w14:paraId="42AD19D7" w14:textId="23A5D4F7"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My</w:t>
      </w:r>
      <w:r w:rsidRPr="00DB58C6">
        <w:rPr>
          <w:rFonts w:ascii="Times New Roman" w:hAnsi="Times New Roman" w:cs="Times New Roman"/>
          <w:sz w:val="20"/>
          <w:szCs w:val="20"/>
        </w:rPr>
        <w:t xml:space="preserve"> political status and </w:t>
      </w:r>
      <w:r w:rsidR="009F7538">
        <w:rPr>
          <w:rFonts w:ascii="Times New Roman" w:hAnsi="Times New Roman" w:cs="Times New Roman"/>
          <w:sz w:val="20"/>
          <w:szCs w:val="20"/>
        </w:rPr>
        <w:t xml:space="preserve">legal </w:t>
      </w:r>
      <w:r w:rsidRPr="00DB58C6">
        <w:rPr>
          <w:rFonts w:ascii="Times New Roman" w:hAnsi="Times New Roman" w:cs="Times New Roman"/>
          <w:sz w:val="20"/>
          <w:szCs w:val="20"/>
        </w:rPr>
        <w:t>standing were procedurally corrected, and due process and administrative notices were deposited with the U</w:t>
      </w:r>
      <w:r>
        <w:rPr>
          <w:rFonts w:ascii="Times New Roman" w:hAnsi="Times New Roman" w:cs="Times New Roman"/>
          <w:sz w:val="20"/>
          <w:szCs w:val="20"/>
        </w:rPr>
        <w:t>nited States Postal Service, in its capacity as universal receiver</w:t>
      </w:r>
      <w:r w:rsidR="009F7538">
        <w:rPr>
          <w:rFonts w:ascii="Times New Roman" w:hAnsi="Times New Roman" w:cs="Times New Roman"/>
          <w:sz w:val="20"/>
          <w:szCs w:val="20"/>
        </w:rPr>
        <w:t xml:space="preserve"> </w:t>
      </w:r>
      <w:r>
        <w:rPr>
          <w:rFonts w:ascii="Times New Roman" w:hAnsi="Times New Roman" w:cs="Times New Roman"/>
          <w:sz w:val="20"/>
          <w:szCs w:val="20"/>
        </w:rPr>
        <w:t>for the United States</w:t>
      </w:r>
      <w:r w:rsidR="009F7538">
        <w:rPr>
          <w:rFonts w:ascii="Times New Roman" w:hAnsi="Times New Roman" w:cs="Times New Roman"/>
          <w:sz w:val="20"/>
          <w:szCs w:val="20"/>
        </w:rPr>
        <w:t xml:space="preserve"> and United States of America</w:t>
      </w:r>
      <w:r>
        <w:rPr>
          <w:rFonts w:ascii="Times New Roman" w:hAnsi="Times New Roman" w:cs="Times New Roman"/>
          <w:sz w:val="20"/>
          <w:szCs w:val="20"/>
        </w:rPr>
        <w:t>, as well as</w:t>
      </w:r>
      <w:r w:rsidRPr="00DB58C6">
        <w:rPr>
          <w:rFonts w:ascii="Times New Roman" w:hAnsi="Times New Roman" w:cs="Times New Roman"/>
          <w:sz w:val="20"/>
          <w:szCs w:val="20"/>
        </w:rPr>
        <w:t xml:space="preserve"> to the relevant U.S. state regional offices. </w:t>
      </w:r>
    </w:p>
    <w:p w14:paraId="05C52F31" w14:textId="7606690B"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The </w:t>
      </w:r>
      <w:r w:rsidRPr="00DB58C6">
        <w:rPr>
          <w:rFonts w:ascii="Times New Roman" w:hAnsi="Times New Roman" w:cs="Times New Roman"/>
          <w:sz w:val="20"/>
          <w:szCs w:val="20"/>
        </w:rPr>
        <w:t xml:space="preserve">continued </w:t>
      </w:r>
      <w:r>
        <w:rPr>
          <w:rFonts w:ascii="Times New Roman" w:hAnsi="Times New Roman" w:cs="Times New Roman"/>
          <w:sz w:val="20"/>
          <w:szCs w:val="20"/>
        </w:rPr>
        <w:t>legal harassment</w:t>
      </w:r>
      <w:r w:rsidR="00E64A31">
        <w:rPr>
          <w:rFonts w:ascii="Times New Roman" w:hAnsi="Times New Roman" w:cs="Times New Roman"/>
          <w:sz w:val="20"/>
          <w:szCs w:val="20"/>
        </w:rPr>
        <w:t>, legal gaslighting,</w:t>
      </w:r>
      <w:r>
        <w:rPr>
          <w:rFonts w:ascii="Times New Roman" w:hAnsi="Times New Roman" w:cs="Times New Roman"/>
          <w:sz w:val="20"/>
          <w:szCs w:val="20"/>
        </w:rPr>
        <w:t xml:space="preserve"> and </w:t>
      </w:r>
      <w:r w:rsidRPr="00DB58C6">
        <w:rPr>
          <w:rFonts w:ascii="Times New Roman" w:hAnsi="Times New Roman" w:cs="Times New Roman"/>
          <w:sz w:val="20"/>
          <w:szCs w:val="20"/>
        </w:rPr>
        <w:t xml:space="preserve">refusal </w:t>
      </w:r>
      <w:r>
        <w:rPr>
          <w:rFonts w:ascii="Times New Roman" w:hAnsi="Times New Roman" w:cs="Times New Roman"/>
          <w:sz w:val="20"/>
          <w:szCs w:val="20"/>
        </w:rPr>
        <w:t>by any</w:t>
      </w:r>
      <w:r w:rsidRPr="00DB58C6">
        <w:rPr>
          <w:rFonts w:ascii="Times New Roman" w:hAnsi="Times New Roman" w:cs="Times New Roman"/>
          <w:sz w:val="20"/>
          <w:szCs w:val="20"/>
        </w:rPr>
        <w:t xml:space="preserve"> self-proclaimed entitled individual</w:t>
      </w:r>
      <w:r>
        <w:rPr>
          <w:rFonts w:ascii="Times New Roman" w:hAnsi="Times New Roman" w:cs="Times New Roman"/>
          <w:sz w:val="20"/>
          <w:szCs w:val="20"/>
        </w:rPr>
        <w:t>(</w:t>
      </w:r>
      <w:r w:rsidRPr="00DB58C6">
        <w:rPr>
          <w:rFonts w:ascii="Times New Roman" w:hAnsi="Times New Roman" w:cs="Times New Roman"/>
          <w:sz w:val="20"/>
          <w:szCs w:val="20"/>
        </w:rPr>
        <w:t>s</w:t>
      </w:r>
      <w:r>
        <w:rPr>
          <w:rFonts w:ascii="Times New Roman" w:hAnsi="Times New Roman" w:cs="Times New Roman"/>
          <w:sz w:val="20"/>
          <w:szCs w:val="20"/>
        </w:rPr>
        <w:t>)</w:t>
      </w:r>
      <w:r w:rsidRPr="00DB58C6">
        <w:rPr>
          <w:rFonts w:ascii="Times New Roman" w:hAnsi="Times New Roman" w:cs="Times New Roman"/>
          <w:sz w:val="20"/>
          <w:szCs w:val="20"/>
        </w:rPr>
        <w:t xml:space="preserve"> will not be tolerated and an immediate </w:t>
      </w:r>
      <w:r w:rsidR="00E64A31" w:rsidRPr="00DB58C6">
        <w:rPr>
          <w:rFonts w:ascii="Times New Roman" w:hAnsi="Times New Roman" w:cs="Times New Roman"/>
          <w:sz w:val="20"/>
          <w:szCs w:val="20"/>
        </w:rPr>
        <w:t>DEMAND</w:t>
      </w:r>
      <w:r w:rsidRPr="00DB58C6">
        <w:rPr>
          <w:rFonts w:ascii="Times New Roman" w:hAnsi="Times New Roman" w:cs="Times New Roman"/>
          <w:sz w:val="20"/>
          <w:szCs w:val="20"/>
        </w:rPr>
        <w:t xml:space="preserve"> is herein being made to bring all involved parties into the realm of divine justice for violations of </w:t>
      </w:r>
      <w:r>
        <w:rPr>
          <w:rFonts w:ascii="Times New Roman" w:hAnsi="Times New Roman" w:cs="Times New Roman"/>
          <w:sz w:val="20"/>
          <w:szCs w:val="20"/>
        </w:rPr>
        <w:t>humanity’s</w:t>
      </w:r>
      <w:r w:rsidRPr="00DB58C6">
        <w:rPr>
          <w:rFonts w:ascii="Times New Roman" w:hAnsi="Times New Roman" w:cs="Times New Roman"/>
          <w:sz w:val="20"/>
          <w:szCs w:val="20"/>
        </w:rPr>
        <w:t xml:space="preserve"> collective free will</w:t>
      </w:r>
      <w:r>
        <w:rPr>
          <w:rFonts w:ascii="Times New Roman" w:hAnsi="Times New Roman" w:cs="Times New Roman"/>
          <w:sz w:val="20"/>
          <w:szCs w:val="20"/>
        </w:rPr>
        <w:t xml:space="preserve"> choice not to </w:t>
      </w:r>
      <w:r w:rsidR="009F7538">
        <w:rPr>
          <w:rFonts w:ascii="Times New Roman" w:hAnsi="Times New Roman" w:cs="Times New Roman"/>
          <w:sz w:val="20"/>
          <w:szCs w:val="20"/>
        </w:rPr>
        <w:t xml:space="preserve">consent to any adhesion </w:t>
      </w:r>
      <w:r>
        <w:rPr>
          <w:rFonts w:ascii="Times New Roman" w:hAnsi="Times New Roman" w:cs="Times New Roman"/>
          <w:sz w:val="20"/>
          <w:szCs w:val="20"/>
        </w:rPr>
        <w:t>contract</w:t>
      </w:r>
      <w:r w:rsidR="009F7538">
        <w:rPr>
          <w:rFonts w:ascii="Times New Roman" w:hAnsi="Times New Roman" w:cs="Times New Roman"/>
          <w:sz w:val="20"/>
          <w:szCs w:val="20"/>
        </w:rPr>
        <w:t>s or involuntary obligations, whether foreign or domestic</w:t>
      </w:r>
      <w:r>
        <w:rPr>
          <w:rFonts w:ascii="Times New Roman" w:hAnsi="Times New Roman" w:cs="Times New Roman"/>
          <w:sz w:val="20"/>
          <w:szCs w:val="20"/>
        </w:rPr>
        <w:t>.</w:t>
      </w:r>
    </w:p>
    <w:p w14:paraId="1DC5C7C4" w14:textId="57CD122E" w:rsidR="00410D16" w:rsidRDefault="007673A9"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TO BE PERFECTLY CLEAR: I have no contractual obligations to any </w:t>
      </w:r>
      <w:r w:rsidRPr="00C1488A">
        <w:rPr>
          <w:rFonts w:ascii="Times New Roman" w:hAnsi="Times New Roman" w:cs="Times New Roman"/>
          <w:b/>
          <w:bCs/>
          <w:sz w:val="20"/>
          <w:szCs w:val="20"/>
        </w:rPr>
        <w:t xml:space="preserve">New York state public-benefit </w:t>
      </w:r>
      <w:proofErr w:type="gramStart"/>
      <w:r w:rsidRPr="00C1488A">
        <w:rPr>
          <w:rFonts w:ascii="Times New Roman" w:hAnsi="Times New Roman" w:cs="Times New Roman"/>
          <w:b/>
          <w:bCs/>
          <w:sz w:val="20"/>
          <w:szCs w:val="20"/>
        </w:rPr>
        <w:t>corporations</w:t>
      </w:r>
      <w:proofErr w:type="gramEnd"/>
      <w:r>
        <w:rPr>
          <w:rFonts w:ascii="Times New Roman" w:hAnsi="Times New Roman" w:cs="Times New Roman"/>
          <w:b/>
          <w:bCs/>
          <w:sz w:val="20"/>
          <w:szCs w:val="20"/>
        </w:rPr>
        <w:t xml:space="preserve">, </w:t>
      </w:r>
      <w:r w:rsidRPr="00410D16">
        <w:rPr>
          <w:rFonts w:ascii="Times New Roman" w:hAnsi="Times New Roman" w:cs="Times New Roman"/>
          <w:sz w:val="20"/>
          <w:szCs w:val="20"/>
        </w:rPr>
        <w:t>i.e., any</w:t>
      </w:r>
      <w:r>
        <w:rPr>
          <w:rFonts w:ascii="Times New Roman" w:hAnsi="Times New Roman" w:cs="Times New Roman"/>
          <w:b/>
          <w:bCs/>
          <w:sz w:val="20"/>
          <w:szCs w:val="20"/>
        </w:rPr>
        <w:t xml:space="preserve"> </w:t>
      </w:r>
      <w:r w:rsidRPr="00C1488A">
        <w:rPr>
          <w:rFonts w:ascii="Times New Roman" w:hAnsi="Times New Roman" w:cs="Times New Roman"/>
          <w:sz w:val="20"/>
          <w:szCs w:val="20"/>
        </w:rPr>
        <w:t>Quasi-public corporations under New York law</w:t>
      </w:r>
      <w:r>
        <w:rPr>
          <w:rFonts w:ascii="Times New Roman" w:hAnsi="Times New Roman" w:cs="Times New Roman"/>
          <w:sz w:val="20"/>
          <w:szCs w:val="20"/>
        </w:rPr>
        <w:t xml:space="preserve">, operating within the region of New York State. As of 2018, there were approximately </w:t>
      </w:r>
      <w:r w:rsidRPr="00C1488A">
        <w:rPr>
          <w:rFonts w:ascii="Times New Roman" w:hAnsi="Times New Roman" w:cs="Times New Roman"/>
          <w:sz w:val="20"/>
          <w:szCs w:val="20"/>
        </w:rPr>
        <w:t xml:space="preserve">47 </w:t>
      </w:r>
      <w:r w:rsidR="000B6229">
        <w:rPr>
          <w:rFonts w:ascii="Times New Roman" w:hAnsi="Times New Roman" w:cs="Times New Roman"/>
          <w:sz w:val="20"/>
          <w:szCs w:val="20"/>
        </w:rPr>
        <w:t xml:space="preserve">U.S. </w:t>
      </w:r>
      <w:r w:rsidRPr="00C1488A">
        <w:rPr>
          <w:rFonts w:ascii="Times New Roman" w:hAnsi="Times New Roman" w:cs="Times New Roman"/>
          <w:sz w:val="20"/>
          <w:szCs w:val="20"/>
        </w:rPr>
        <w:t>state authorities</w:t>
      </w:r>
      <w:r>
        <w:rPr>
          <w:rFonts w:ascii="Times New Roman" w:hAnsi="Times New Roman" w:cs="Times New Roman"/>
          <w:sz w:val="20"/>
          <w:szCs w:val="20"/>
        </w:rPr>
        <w:t xml:space="preserve"> and</w:t>
      </w:r>
      <w:r w:rsidRPr="00C1488A">
        <w:rPr>
          <w:rFonts w:ascii="Times New Roman" w:hAnsi="Times New Roman" w:cs="Times New Roman"/>
          <w:sz w:val="20"/>
          <w:szCs w:val="20"/>
        </w:rPr>
        <w:t xml:space="preserve"> 531 local authorities</w:t>
      </w:r>
      <w:r w:rsidR="000B6229">
        <w:rPr>
          <w:rFonts w:ascii="Times New Roman" w:hAnsi="Times New Roman" w:cs="Times New Roman"/>
          <w:sz w:val="20"/>
          <w:szCs w:val="20"/>
        </w:rPr>
        <w:t xml:space="preserve"> operating as local</w:t>
      </w:r>
      <w:r w:rsidR="000B6229" w:rsidRPr="00C1488A">
        <w:rPr>
          <w:rFonts w:ascii="Times New Roman" w:hAnsi="Times New Roman" w:cs="Times New Roman"/>
          <w:sz w:val="20"/>
          <w:szCs w:val="20"/>
        </w:rPr>
        <w:t xml:space="preserve"> government</w:t>
      </w:r>
      <w:r w:rsidR="000B6229">
        <w:rPr>
          <w:rFonts w:ascii="Times New Roman" w:hAnsi="Times New Roman" w:cs="Times New Roman"/>
          <w:sz w:val="20"/>
          <w:szCs w:val="20"/>
        </w:rPr>
        <w:t>s</w:t>
      </w:r>
      <w:r w:rsidR="00410D16">
        <w:rPr>
          <w:rFonts w:ascii="Times New Roman" w:hAnsi="Times New Roman" w:cs="Times New Roman"/>
          <w:sz w:val="20"/>
          <w:szCs w:val="20"/>
        </w:rPr>
        <w:t xml:space="preserve"> under </w:t>
      </w:r>
      <w:r w:rsidR="00410D16" w:rsidRPr="007D376C">
        <w:rPr>
          <w:rFonts w:ascii="Times New Roman" w:hAnsi="Times New Roman" w:cs="Times New Roman"/>
          <w:sz w:val="20"/>
          <w:szCs w:val="20"/>
        </w:rPr>
        <w:t>State of New York</w:t>
      </w:r>
      <w:r w:rsidR="000B6229">
        <w:rPr>
          <w:rFonts w:ascii="Times New Roman" w:hAnsi="Times New Roman" w:cs="Times New Roman"/>
          <w:sz w:val="20"/>
          <w:szCs w:val="20"/>
        </w:rPr>
        <w:t xml:space="preserve"> as the Parent Organization</w:t>
      </w:r>
      <w:r w:rsidR="00410D16">
        <w:rPr>
          <w:rFonts w:ascii="Times New Roman" w:hAnsi="Times New Roman" w:cs="Times New Roman"/>
          <w:sz w:val="20"/>
          <w:szCs w:val="20"/>
        </w:rPr>
        <w:t xml:space="preserve">. </w:t>
      </w:r>
      <w:r w:rsidR="00410D16" w:rsidRPr="00410D16">
        <w:rPr>
          <w:rFonts w:ascii="Times New Roman" w:hAnsi="Times New Roman" w:cs="Times New Roman"/>
          <w:sz w:val="20"/>
          <w:szCs w:val="20"/>
        </w:rPr>
        <w:t>New York state public-benefit corporations</w:t>
      </w:r>
      <w:r w:rsidR="00410D16" w:rsidRPr="00C1488A">
        <w:rPr>
          <w:rFonts w:ascii="Times New Roman" w:hAnsi="Times New Roman" w:cs="Times New Roman"/>
          <w:sz w:val="20"/>
          <w:szCs w:val="20"/>
        </w:rPr>
        <w:t xml:space="preserve"> and authorities operate like quasi-</w:t>
      </w:r>
      <w:r w:rsidR="00410D16" w:rsidRPr="00410D16">
        <w:rPr>
          <w:rFonts w:ascii="Times New Roman" w:hAnsi="Times New Roman" w:cs="Times New Roman"/>
          <w:b/>
          <w:bCs/>
          <w:sz w:val="20"/>
          <w:szCs w:val="20"/>
        </w:rPr>
        <w:t xml:space="preserve">private </w:t>
      </w:r>
      <w:r w:rsidR="00410D16" w:rsidRPr="00C1488A">
        <w:rPr>
          <w:rFonts w:ascii="Times New Roman" w:hAnsi="Times New Roman" w:cs="Times New Roman"/>
          <w:sz w:val="20"/>
          <w:szCs w:val="20"/>
        </w:rPr>
        <w:t xml:space="preserve">corporations, with boards of directors appointed by </w:t>
      </w:r>
      <w:r w:rsidR="00410D16">
        <w:rPr>
          <w:rFonts w:ascii="Times New Roman" w:hAnsi="Times New Roman" w:cs="Times New Roman"/>
          <w:sz w:val="20"/>
          <w:szCs w:val="20"/>
        </w:rPr>
        <w:t xml:space="preserve">local </w:t>
      </w:r>
      <w:r w:rsidR="00410D16" w:rsidRPr="00C1488A">
        <w:rPr>
          <w:rFonts w:ascii="Times New Roman" w:hAnsi="Times New Roman" w:cs="Times New Roman"/>
          <w:sz w:val="20"/>
          <w:szCs w:val="20"/>
        </w:rPr>
        <w:t>elected officials, overseeing both publicly operated and privately operated systems</w:t>
      </w:r>
      <w:r w:rsidR="00410D16">
        <w:rPr>
          <w:rFonts w:ascii="Times New Roman" w:hAnsi="Times New Roman" w:cs="Times New Roman"/>
          <w:sz w:val="20"/>
          <w:szCs w:val="20"/>
        </w:rPr>
        <w:t xml:space="preserve"> that function as </w:t>
      </w:r>
      <w:r w:rsidR="002279A0">
        <w:rPr>
          <w:rFonts w:ascii="Times New Roman" w:hAnsi="Times New Roman" w:cs="Times New Roman"/>
          <w:b/>
          <w:bCs/>
          <w:sz w:val="20"/>
          <w:szCs w:val="20"/>
        </w:rPr>
        <w:t>p</w:t>
      </w:r>
      <w:r w:rsidR="00410D16" w:rsidRPr="00410D16">
        <w:rPr>
          <w:rFonts w:ascii="Times New Roman" w:hAnsi="Times New Roman" w:cs="Times New Roman"/>
          <w:b/>
          <w:bCs/>
          <w:sz w:val="20"/>
          <w:szCs w:val="20"/>
        </w:rPr>
        <w:t>ublic-benefit nonprofit corporations</w:t>
      </w:r>
      <w:r w:rsidR="00410D16" w:rsidRPr="00C1488A">
        <w:rPr>
          <w:rFonts w:ascii="Times New Roman" w:hAnsi="Times New Roman" w:cs="Times New Roman"/>
          <w:sz w:val="20"/>
          <w:szCs w:val="20"/>
        </w:rPr>
        <w:t xml:space="preserve"> </w:t>
      </w:r>
      <w:r w:rsidR="00410D16">
        <w:rPr>
          <w:rFonts w:ascii="Times New Roman" w:hAnsi="Times New Roman" w:cs="Times New Roman"/>
          <w:sz w:val="20"/>
          <w:szCs w:val="20"/>
        </w:rPr>
        <w:t xml:space="preserve">that </w:t>
      </w:r>
      <w:r w:rsidR="00410D16" w:rsidRPr="00C1488A">
        <w:rPr>
          <w:rFonts w:ascii="Times New Roman" w:hAnsi="Times New Roman" w:cs="Times New Roman"/>
          <w:sz w:val="20"/>
          <w:szCs w:val="20"/>
        </w:rPr>
        <w:t xml:space="preserve">share characteristics with government agencies, </w:t>
      </w:r>
      <w:r w:rsidR="00410D16">
        <w:rPr>
          <w:rFonts w:ascii="Times New Roman" w:hAnsi="Times New Roman" w:cs="Times New Roman"/>
          <w:sz w:val="20"/>
          <w:szCs w:val="20"/>
        </w:rPr>
        <w:t xml:space="preserve">while remaining </w:t>
      </w:r>
      <w:r w:rsidR="00410D16" w:rsidRPr="00C1488A">
        <w:rPr>
          <w:rFonts w:ascii="Times New Roman" w:hAnsi="Times New Roman" w:cs="Times New Roman"/>
          <w:sz w:val="20"/>
          <w:szCs w:val="20"/>
        </w:rPr>
        <w:t xml:space="preserve">exempt from many </w:t>
      </w:r>
      <w:r w:rsidR="009F7538">
        <w:rPr>
          <w:rFonts w:ascii="Times New Roman" w:hAnsi="Times New Roman" w:cs="Times New Roman"/>
          <w:sz w:val="20"/>
          <w:szCs w:val="20"/>
        </w:rPr>
        <w:t xml:space="preserve">U.S. </w:t>
      </w:r>
      <w:r w:rsidR="00410D16" w:rsidRPr="00C1488A">
        <w:rPr>
          <w:rFonts w:ascii="Times New Roman" w:hAnsi="Times New Roman" w:cs="Times New Roman"/>
          <w:sz w:val="20"/>
          <w:szCs w:val="20"/>
        </w:rPr>
        <w:t>state and local regulations.</w:t>
      </w:r>
    </w:p>
    <w:p w14:paraId="082B0719" w14:textId="77777777" w:rsidR="000B6229" w:rsidRDefault="00A805EC" w:rsidP="000B6229">
      <w:pPr>
        <w:jc w:val="both"/>
        <w:rPr>
          <w:rFonts w:ascii="Times New Roman" w:hAnsi="Times New Roman" w:cs="Times New Roman"/>
          <w:sz w:val="20"/>
          <w:szCs w:val="20"/>
        </w:rPr>
      </w:pPr>
      <w:r w:rsidRPr="00C1488A">
        <w:rPr>
          <w:rFonts w:ascii="Times New Roman" w:hAnsi="Times New Roman" w:cs="Times New Roman"/>
          <w:sz w:val="20"/>
          <w:szCs w:val="20"/>
        </w:rPr>
        <w:t xml:space="preserve">The </w:t>
      </w:r>
      <w:r w:rsidRPr="000B6229">
        <w:rPr>
          <w:rFonts w:ascii="Times New Roman" w:hAnsi="Times New Roman" w:cs="Times New Roman"/>
          <w:sz w:val="20"/>
          <w:szCs w:val="20"/>
        </w:rPr>
        <w:t>New York State Constitution</w:t>
      </w:r>
      <w:r w:rsidRPr="00C1488A">
        <w:rPr>
          <w:rFonts w:ascii="Times New Roman" w:hAnsi="Times New Roman" w:cs="Times New Roman"/>
          <w:sz w:val="20"/>
          <w:szCs w:val="20"/>
        </w:rPr>
        <w:t xml:space="preserve">, </w:t>
      </w:r>
      <w:r w:rsidR="000B6229">
        <w:rPr>
          <w:rFonts w:ascii="Times New Roman" w:hAnsi="Times New Roman" w:cs="Times New Roman"/>
          <w:sz w:val="20"/>
          <w:szCs w:val="20"/>
        </w:rPr>
        <w:t xml:space="preserve">at </w:t>
      </w:r>
      <w:r w:rsidRPr="00C1488A">
        <w:rPr>
          <w:rFonts w:ascii="Times New Roman" w:hAnsi="Times New Roman" w:cs="Times New Roman"/>
          <w:sz w:val="20"/>
          <w:szCs w:val="20"/>
        </w:rPr>
        <w:t xml:space="preserve">Art. X, sec. 5, provides that public benefit corporations may only be created by </w:t>
      </w:r>
      <w:r w:rsidR="000B6229">
        <w:rPr>
          <w:rFonts w:ascii="Times New Roman" w:hAnsi="Times New Roman" w:cs="Times New Roman"/>
          <w:sz w:val="20"/>
          <w:szCs w:val="20"/>
        </w:rPr>
        <w:t xml:space="preserve">a </w:t>
      </w:r>
      <w:r w:rsidRPr="00C1488A">
        <w:rPr>
          <w:rFonts w:ascii="Times New Roman" w:hAnsi="Times New Roman" w:cs="Times New Roman"/>
          <w:sz w:val="20"/>
          <w:szCs w:val="20"/>
        </w:rPr>
        <w:t xml:space="preserve">special act of the legislature. </w:t>
      </w:r>
      <w:r w:rsidRPr="00C1488A">
        <w:rPr>
          <w:rFonts w:ascii="Times New Roman" w:hAnsi="Times New Roman" w:cs="Times New Roman"/>
          <w:i/>
          <w:iCs/>
          <w:sz w:val="20"/>
          <w:szCs w:val="20"/>
        </w:rPr>
        <w:t>In City of Rye v. MTA</w:t>
      </w:r>
      <w:r w:rsidRPr="00C1488A">
        <w:rPr>
          <w:rFonts w:ascii="Times New Roman" w:hAnsi="Times New Roman" w:cs="Times New Roman"/>
          <w:sz w:val="20"/>
          <w:szCs w:val="20"/>
        </w:rPr>
        <w:t>, 24 N.Y.2d 627 (1969), the court of appeals explained that</w:t>
      </w:r>
      <w:r w:rsidR="000B6229">
        <w:rPr>
          <w:rFonts w:ascii="Times New Roman" w:hAnsi="Times New Roman" w:cs="Times New Roman"/>
          <w:sz w:val="20"/>
          <w:szCs w:val="20"/>
        </w:rPr>
        <w:t>:</w:t>
      </w:r>
    </w:p>
    <w:p w14:paraId="0C7DDDB1" w14:textId="176B3DB5" w:rsidR="00A805EC" w:rsidRDefault="00A805EC" w:rsidP="000B6229">
      <w:pPr>
        <w:pStyle w:val="ListParagraph"/>
        <w:jc w:val="both"/>
        <w:rPr>
          <w:rFonts w:ascii="Times New Roman" w:hAnsi="Times New Roman" w:cs="Times New Roman"/>
          <w:sz w:val="20"/>
          <w:szCs w:val="20"/>
        </w:rPr>
      </w:pPr>
      <w:r w:rsidRPr="000B6229">
        <w:rPr>
          <w:rFonts w:ascii="Times New Roman" w:hAnsi="Times New Roman" w:cs="Times New Roman"/>
          <w:sz w:val="20"/>
          <w:szCs w:val="20"/>
        </w:rPr>
        <w:t>"The debates of the 1938 Convention indicate that the proliferation of public authorities after 1927 was the reason for the enactment of section 5 of article X.... Abbott Low Moffat, who supported this proposal, told the convention that its purpose was 'to require the Legislature to pass directly itself upon the establishment of each new authority, and to prevent the enactment of general laws pursuant to which a municipal corporation can itself create a corporation of the authority type'".</w:t>
      </w:r>
    </w:p>
    <w:p w14:paraId="5CD9D313" w14:textId="77777777" w:rsidR="000B6229" w:rsidRPr="000B6229" w:rsidRDefault="000B6229" w:rsidP="000B6229">
      <w:pPr>
        <w:pStyle w:val="ListParagraph"/>
        <w:jc w:val="both"/>
        <w:rPr>
          <w:rFonts w:ascii="Times New Roman" w:hAnsi="Times New Roman" w:cs="Times New Roman"/>
          <w:sz w:val="10"/>
          <w:szCs w:val="10"/>
        </w:rPr>
      </w:pPr>
    </w:p>
    <w:p w14:paraId="6952FCFA" w14:textId="38467A08" w:rsidR="000B6229" w:rsidRPr="000B6229" w:rsidRDefault="000B6229" w:rsidP="000B6229">
      <w:pPr>
        <w:pStyle w:val="ListParagraph"/>
        <w:jc w:val="both"/>
        <w:rPr>
          <w:rFonts w:ascii="Times New Roman" w:hAnsi="Times New Roman" w:cs="Times New Roman"/>
          <w:sz w:val="20"/>
          <w:szCs w:val="20"/>
        </w:rPr>
      </w:pPr>
      <w:r w:rsidRPr="00C1488A">
        <w:rPr>
          <w:rFonts w:ascii="Times New Roman" w:hAnsi="Times New Roman" w:cs="Times New Roman"/>
          <w:sz w:val="20"/>
          <w:szCs w:val="20"/>
        </w:rPr>
        <w:t xml:space="preserve">The 1938 Constitution "expressly empowered public authorities to contract debt independently of the State". </w:t>
      </w:r>
      <w:r w:rsidRPr="000B6229">
        <w:rPr>
          <w:rFonts w:ascii="Times New Roman" w:hAnsi="Times New Roman" w:cs="Times New Roman"/>
          <w:b/>
          <w:bCs/>
          <w:sz w:val="20"/>
          <w:szCs w:val="20"/>
          <w:u w:val="single"/>
        </w:rPr>
        <w:t xml:space="preserve">Because of this, the Court of Appeals has repeatedly affirmed that public authorities are distinct from the U.S. </w:t>
      </w:r>
      <w:r w:rsidR="00CB6683">
        <w:rPr>
          <w:rFonts w:ascii="Times New Roman" w:hAnsi="Times New Roman" w:cs="Times New Roman"/>
          <w:b/>
          <w:bCs/>
          <w:sz w:val="20"/>
          <w:szCs w:val="20"/>
          <w:u w:val="single"/>
        </w:rPr>
        <w:t>S</w:t>
      </w:r>
      <w:r w:rsidRPr="000B6229">
        <w:rPr>
          <w:rFonts w:ascii="Times New Roman" w:hAnsi="Times New Roman" w:cs="Times New Roman"/>
          <w:b/>
          <w:bCs/>
          <w:sz w:val="20"/>
          <w:szCs w:val="20"/>
          <w:u w:val="single"/>
        </w:rPr>
        <w:t xml:space="preserve">tate and that the U.S. </w:t>
      </w:r>
      <w:r w:rsidR="00CB6683">
        <w:rPr>
          <w:rFonts w:ascii="Times New Roman" w:hAnsi="Times New Roman" w:cs="Times New Roman"/>
          <w:b/>
          <w:bCs/>
          <w:sz w:val="20"/>
          <w:szCs w:val="20"/>
          <w:u w:val="single"/>
        </w:rPr>
        <w:t>S</w:t>
      </w:r>
      <w:r w:rsidRPr="000B6229">
        <w:rPr>
          <w:rFonts w:ascii="Times New Roman" w:hAnsi="Times New Roman" w:cs="Times New Roman"/>
          <w:b/>
          <w:bCs/>
          <w:sz w:val="20"/>
          <w:szCs w:val="20"/>
          <w:u w:val="single"/>
        </w:rPr>
        <w:t>tate carries no moral obligation to repay their debts</w:t>
      </w:r>
      <w:r w:rsidRPr="00C1488A">
        <w:rPr>
          <w:rFonts w:ascii="Times New Roman" w:hAnsi="Times New Roman" w:cs="Times New Roman"/>
          <w:sz w:val="20"/>
          <w:szCs w:val="20"/>
        </w:rPr>
        <w:t>.</w:t>
      </w:r>
    </w:p>
    <w:p w14:paraId="401E8F26" w14:textId="4A7CE080" w:rsidR="00090516" w:rsidRDefault="000B6229" w:rsidP="00CB6683">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Whereas</w:t>
      </w:r>
      <w:r w:rsidR="00A805EC" w:rsidRPr="00C1488A">
        <w:rPr>
          <w:rFonts w:ascii="Times New Roman" w:hAnsi="Times New Roman" w:cs="Times New Roman"/>
          <w:sz w:val="20"/>
          <w:szCs w:val="20"/>
        </w:rPr>
        <w:t xml:space="preserve"> major public authorities can only be created by special legislation, many local development corporations have been created under the general Not-For-</w:t>
      </w:r>
      <w:r w:rsidR="00A805EC" w:rsidRPr="000B6229">
        <w:rPr>
          <w:rFonts w:ascii="Times New Roman" w:hAnsi="Times New Roman" w:cs="Times New Roman"/>
          <w:b/>
          <w:bCs/>
          <w:sz w:val="20"/>
          <w:szCs w:val="20"/>
        </w:rPr>
        <w:t xml:space="preserve">Profit </w:t>
      </w:r>
      <w:r w:rsidR="00A805EC" w:rsidRPr="00C1488A">
        <w:rPr>
          <w:rFonts w:ascii="Times New Roman" w:hAnsi="Times New Roman" w:cs="Times New Roman"/>
          <w:sz w:val="20"/>
          <w:szCs w:val="20"/>
        </w:rPr>
        <w:t>Corporation Law. These LDCs function in much the same way as other public benefit corporations and public authorities, but do not need to be established by specific</w:t>
      </w:r>
      <w:r>
        <w:rPr>
          <w:rFonts w:ascii="Times New Roman" w:hAnsi="Times New Roman" w:cs="Times New Roman"/>
          <w:sz w:val="20"/>
          <w:szCs w:val="20"/>
        </w:rPr>
        <w:t>/special</w:t>
      </w:r>
      <w:r w:rsidR="00A805EC" w:rsidRPr="00C1488A">
        <w:rPr>
          <w:rFonts w:ascii="Times New Roman" w:hAnsi="Times New Roman" w:cs="Times New Roman"/>
          <w:sz w:val="20"/>
          <w:szCs w:val="20"/>
        </w:rPr>
        <w:t xml:space="preserve"> state legislation. Additionally, many public authorities have the power to create subsidiary authorities without additional legislative authorization. An example is the </w:t>
      </w:r>
      <w:r w:rsidR="00A805EC" w:rsidRPr="000B6229">
        <w:rPr>
          <w:rFonts w:ascii="Times New Roman" w:hAnsi="Times New Roman" w:cs="Times New Roman"/>
          <w:b/>
          <w:bCs/>
          <w:sz w:val="20"/>
          <w:szCs w:val="20"/>
        </w:rPr>
        <w:t>Empire State Development Corporation</w:t>
      </w:r>
      <w:r w:rsidR="00A805EC" w:rsidRPr="00C1488A">
        <w:rPr>
          <w:rFonts w:ascii="Times New Roman" w:hAnsi="Times New Roman" w:cs="Times New Roman"/>
          <w:sz w:val="20"/>
          <w:szCs w:val="20"/>
        </w:rPr>
        <w:t xml:space="preserve">, which decided in 2007 to dissolve 13 subsidiaries and merge 25 others into a single holding company. </w:t>
      </w:r>
      <w:r>
        <w:rPr>
          <w:rFonts w:ascii="Times New Roman" w:hAnsi="Times New Roman" w:cs="Times New Roman"/>
          <w:sz w:val="20"/>
          <w:szCs w:val="20"/>
        </w:rPr>
        <w:t xml:space="preserve">However, its private arm, i.e., </w:t>
      </w:r>
      <w:proofErr w:type="gramStart"/>
      <w:r w:rsidR="00CB6683">
        <w:rPr>
          <w:rFonts w:ascii="Times New Roman" w:hAnsi="Times New Roman" w:cs="Times New Roman"/>
          <w:sz w:val="20"/>
          <w:szCs w:val="20"/>
        </w:rPr>
        <w:t xml:space="preserve">the </w:t>
      </w:r>
      <w:r w:rsidR="00A805EC" w:rsidRPr="00C1488A">
        <w:rPr>
          <w:rFonts w:ascii="Times New Roman" w:hAnsi="Times New Roman" w:cs="Times New Roman"/>
          <w:sz w:val="20"/>
          <w:szCs w:val="20"/>
        </w:rPr>
        <w:t>ESDC</w:t>
      </w:r>
      <w:proofErr w:type="gramEnd"/>
      <w:r w:rsidR="00A805EC" w:rsidRPr="00C1488A">
        <w:rPr>
          <w:rFonts w:ascii="Times New Roman" w:hAnsi="Times New Roman" w:cs="Times New Roman"/>
          <w:sz w:val="20"/>
          <w:szCs w:val="20"/>
        </w:rPr>
        <w:t xml:space="preserve"> still encompasses many subsidiary organizations</w:t>
      </w:r>
      <w:r w:rsidR="00CB6683">
        <w:rPr>
          <w:rFonts w:ascii="Times New Roman" w:hAnsi="Times New Roman" w:cs="Times New Roman"/>
          <w:sz w:val="20"/>
          <w:szCs w:val="20"/>
        </w:rPr>
        <w:t>, and t</w:t>
      </w:r>
      <w:r w:rsidR="00A805EC" w:rsidRPr="00C1488A">
        <w:rPr>
          <w:rFonts w:ascii="Times New Roman" w:hAnsi="Times New Roman" w:cs="Times New Roman"/>
          <w:sz w:val="20"/>
          <w:szCs w:val="20"/>
        </w:rPr>
        <w:t xml:space="preserve">hough the </w:t>
      </w:r>
      <w:r w:rsidR="00090516">
        <w:rPr>
          <w:rFonts w:ascii="Times New Roman" w:hAnsi="Times New Roman" w:cs="Times New Roman"/>
          <w:sz w:val="20"/>
          <w:szCs w:val="20"/>
        </w:rPr>
        <w:t xml:space="preserve">State </w:t>
      </w:r>
      <w:r w:rsidR="00A805EC" w:rsidRPr="00C1488A">
        <w:rPr>
          <w:rFonts w:ascii="Times New Roman" w:hAnsi="Times New Roman" w:cs="Times New Roman"/>
          <w:sz w:val="20"/>
          <w:szCs w:val="20"/>
        </w:rPr>
        <w:t xml:space="preserve">Constitution prohibits the </w:t>
      </w:r>
      <w:r w:rsidR="00090516">
        <w:rPr>
          <w:rFonts w:ascii="Times New Roman" w:hAnsi="Times New Roman" w:cs="Times New Roman"/>
          <w:sz w:val="20"/>
          <w:szCs w:val="20"/>
        </w:rPr>
        <w:t>S</w:t>
      </w:r>
      <w:r w:rsidR="00A805EC" w:rsidRPr="00C1488A">
        <w:rPr>
          <w:rFonts w:ascii="Times New Roman" w:hAnsi="Times New Roman" w:cs="Times New Roman"/>
          <w:sz w:val="20"/>
          <w:szCs w:val="20"/>
        </w:rPr>
        <w:t xml:space="preserve">tate from lending </w:t>
      </w:r>
      <w:r w:rsidR="00A805EC" w:rsidRPr="00C1488A">
        <w:rPr>
          <w:rFonts w:ascii="Times New Roman" w:hAnsi="Times New Roman" w:cs="Times New Roman"/>
          <w:sz w:val="20"/>
          <w:szCs w:val="20"/>
        </w:rPr>
        <w:lastRenderedPageBreak/>
        <w:t xml:space="preserve">its credit to public authorities, it does allow the </w:t>
      </w:r>
      <w:r w:rsidR="00090516">
        <w:rPr>
          <w:rFonts w:ascii="Times New Roman" w:hAnsi="Times New Roman" w:cs="Times New Roman"/>
          <w:sz w:val="20"/>
          <w:szCs w:val="20"/>
        </w:rPr>
        <w:t>S</w:t>
      </w:r>
      <w:r w:rsidR="00A805EC" w:rsidRPr="00C1488A">
        <w:rPr>
          <w:rFonts w:ascii="Times New Roman" w:hAnsi="Times New Roman" w:cs="Times New Roman"/>
          <w:sz w:val="20"/>
          <w:szCs w:val="20"/>
        </w:rPr>
        <w:t xml:space="preserve">tate to make </w:t>
      </w:r>
      <w:r w:rsidR="00A805EC" w:rsidRPr="00090516">
        <w:rPr>
          <w:rFonts w:ascii="Times New Roman" w:hAnsi="Times New Roman" w:cs="Times New Roman"/>
          <w:b/>
          <w:bCs/>
          <w:i/>
          <w:iCs/>
          <w:sz w:val="20"/>
          <w:szCs w:val="20"/>
        </w:rPr>
        <w:t>gifts of money</w:t>
      </w:r>
      <w:r w:rsidR="00A805EC" w:rsidRPr="00C1488A">
        <w:rPr>
          <w:rFonts w:ascii="Times New Roman" w:hAnsi="Times New Roman" w:cs="Times New Roman"/>
          <w:sz w:val="20"/>
          <w:szCs w:val="20"/>
        </w:rPr>
        <w:t xml:space="preserve"> to authorities. As a practical result, this has resulted in some authorities receiving annual funding from the </w:t>
      </w:r>
      <w:r w:rsidR="00090516">
        <w:rPr>
          <w:rFonts w:ascii="Times New Roman" w:hAnsi="Times New Roman" w:cs="Times New Roman"/>
          <w:sz w:val="20"/>
          <w:szCs w:val="20"/>
        </w:rPr>
        <w:t>S</w:t>
      </w:r>
      <w:r w:rsidR="00A805EC" w:rsidRPr="00C1488A">
        <w:rPr>
          <w:rFonts w:ascii="Times New Roman" w:hAnsi="Times New Roman" w:cs="Times New Roman"/>
          <w:sz w:val="20"/>
          <w:szCs w:val="20"/>
        </w:rPr>
        <w:t xml:space="preserve">tate on a consistent basis. The Court of Appeals stated in </w:t>
      </w:r>
      <w:r w:rsidR="00A805EC" w:rsidRPr="00C1488A">
        <w:rPr>
          <w:rFonts w:ascii="Times New Roman" w:hAnsi="Times New Roman" w:cs="Times New Roman"/>
          <w:i/>
          <w:iCs/>
          <w:sz w:val="20"/>
          <w:szCs w:val="20"/>
        </w:rPr>
        <w:t>Schulz v. State</w:t>
      </w:r>
      <w:r w:rsidR="00A805EC" w:rsidRPr="00C1488A">
        <w:rPr>
          <w:rFonts w:ascii="Times New Roman" w:hAnsi="Times New Roman" w:cs="Times New Roman"/>
          <w:sz w:val="20"/>
          <w:szCs w:val="20"/>
        </w:rPr>
        <w:t>, 84 N.Y.2d 231 (1994) that</w:t>
      </w:r>
      <w:r w:rsidR="00CB6683">
        <w:rPr>
          <w:rFonts w:ascii="Times New Roman" w:hAnsi="Times New Roman" w:cs="Times New Roman"/>
          <w:sz w:val="20"/>
          <w:szCs w:val="20"/>
        </w:rPr>
        <w:t>:</w:t>
      </w:r>
    </w:p>
    <w:p w14:paraId="4F67E7E6" w14:textId="2C15394C" w:rsidR="00A805EC" w:rsidRPr="00090516" w:rsidRDefault="00A805EC" w:rsidP="00090516">
      <w:pPr>
        <w:pStyle w:val="ListParagraph"/>
        <w:jc w:val="both"/>
        <w:rPr>
          <w:rFonts w:ascii="Times New Roman" w:hAnsi="Times New Roman" w:cs="Times New Roman"/>
          <w:sz w:val="20"/>
          <w:szCs w:val="20"/>
        </w:rPr>
      </w:pPr>
      <w:r w:rsidRPr="00090516">
        <w:rPr>
          <w:rFonts w:ascii="Times New Roman" w:hAnsi="Times New Roman" w:cs="Times New Roman"/>
          <w:sz w:val="20"/>
          <w:szCs w:val="20"/>
        </w:rPr>
        <w:t>"</w:t>
      </w:r>
      <w:r w:rsidR="00CB6683">
        <w:rPr>
          <w:rFonts w:ascii="Times New Roman" w:hAnsi="Times New Roman" w:cs="Times New Roman"/>
          <w:sz w:val="20"/>
          <w:szCs w:val="20"/>
        </w:rPr>
        <w:t xml:space="preserve">If </w:t>
      </w:r>
      <w:r w:rsidRPr="00090516">
        <w:rPr>
          <w:rFonts w:ascii="Times New Roman" w:hAnsi="Times New Roman" w:cs="Times New Roman"/>
          <w:sz w:val="20"/>
          <w:szCs w:val="20"/>
        </w:rPr>
        <w:t xml:space="preserve">modern ingenuity, even gimmickry, </w:t>
      </w:r>
      <w:proofErr w:type="gramStart"/>
      <w:r w:rsidRPr="00090516">
        <w:rPr>
          <w:rFonts w:ascii="Times New Roman" w:hAnsi="Times New Roman" w:cs="Times New Roman"/>
          <w:sz w:val="20"/>
          <w:szCs w:val="20"/>
        </w:rPr>
        <w:t>have</w:t>
      </w:r>
      <w:proofErr w:type="gramEnd"/>
      <w:r w:rsidRPr="00090516">
        <w:rPr>
          <w:rFonts w:ascii="Times New Roman" w:hAnsi="Times New Roman" w:cs="Times New Roman"/>
          <w:sz w:val="20"/>
          <w:szCs w:val="20"/>
        </w:rPr>
        <w:t xml:space="preserve"> in fact stretched the words of the Constitution beyond the point of prudence, that plea for reform in State borrowing practices and policy is appropriately directed to the public arena".</w:t>
      </w:r>
      <w:r w:rsidR="00090516">
        <w:rPr>
          <w:rFonts w:ascii="Times New Roman" w:hAnsi="Times New Roman" w:cs="Times New Roman"/>
          <w:sz w:val="20"/>
          <w:szCs w:val="20"/>
        </w:rPr>
        <w:t xml:space="preserve"> </w:t>
      </w:r>
      <w:r w:rsidRPr="00090516">
        <w:rPr>
          <w:rFonts w:ascii="Times New Roman" w:hAnsi="Times New Roman" w:cs="Times New Roman"/>
          <w:i/>
          <w:iCs/>
          <w:sz w:val="20"/>
          <w:szCs w:val="20"/>
        </w:rPr>
        <w:t>See also</w:t>
      </w:r>
      <w:r w:rsidRPr="00090516">
        <w:rPr>
          <w:rFonts w:ascii="Times New Roman" w:hAnsi="Times New Roman" w:cs="Times New Roman"/>
          <w:sz w:val="20"/>
          <w:szCs w:val="20"/>
        </w:rPr>
        <w:t xml:space="preserve"> </w:t>
      </w:r>
      <w:r w:rsidRPr="00090516">
        <w:rPr>
          <w:rFonts w:ascii="Times New Roman" w:hAnsi="Times New Roman" w:cs="Times New Roman"/>
          <w:i/>
          <w:iCs/>
          <w:sz w:val="20"/>
          <w:szCs w:val="20"/>
        </w:rPr>
        <w:t>Wein v. State</w:t>
      </w:r>
      <w:r w:rsidRPr="00090516">
        <w:rPr>
          <w:rFonts w:ascii="Times New Roman" w:hAnsi="Times New Roman" w:cs="Times New Roman"/>
          <w:sz w:val="20"/>
          <w:szCs w:val="20"/>
        </w:rPr>
        <w:t xml:space="preserve">, 39 N.Y.2d 136 (1976); </w:t>
      </w:r>
      <w:r w:rsidRPr="00090516">
        <w:rPr>
          <w:rFonts w:ascii="Times New Roman" w:hAnsi="Times New Roman" w:cs="Times New Roman"/>
          <w:i/>
          <w:iCs/>
          <w:sz w:val="20"/>
          <w:szCs w:val="20"/>
        </w:rPr>
        <w:t>Wein v. Levitt</w:t>
      </w:r>
      <w:r w:rsidRPr="00090516">
        <w:rPr>
          <w:rFonts w:ascii="Times New Roman" w:hAnsi="Times New Roman" w:cs="Times New Roman"/>
          <w:sz w:val="20"/>
          <w:szCs w:val="20"/>
        </w:rPr>
        <w:t>, 42 N.Y.2d 300 (1977).</w:t>
      </w:r>
    </w:p>
    <w:p w14:paraId="603852DF" w14:textId="6840DAED" w:rsidR="00A805EC" w:rsidRDefault="00A805EC" w:rsidP="000B6229">
      <w:pPr>
        <w:jc w:val="both"/>
        <w:rPr>
          <w:rFonts w:ascii="Times New Roman" w:hAnsi="Times New Roman" w:cs="Times New Roman"/>
          <w:sz w:val="20"/>
          <w:szCs w:val="20"/>
        </w:rPr>
      </w:pPr>
      <w:r w:rsidRPr="00C1488A">
        <w:rPr>
          <w:rFonts w:ascii="Times New Roman" w:hAnsi="Times New Roman" w:cs="Times New Roman"/>
          <w:sz w:val="20"/>
          <w:szCs w:val="20"/>
        </w:rPr>
        <w:t xml:space="preserve">Financing public projects through public authorities is also attractive because their independent corporate structure theoretically makes them more flexible and efficient than </w:t>
      </w:r>
      <w:r w:rsidR="00090516">
        <w:rPr>
          <w:rFonts w:ascii="Times New Roman" w:hAnsi="Times New Roman" w:cs="Times New Roman"/>
          <w:sz w:val="20"/>
          <w:szCs w:val="20"/>
        </w:rPr>
        <w:t>S</w:t>
      </w:r>
      <w:r w:rsidRPr="00C1488A">
        <w:rPr>
          <w:rFonts w:ascii="Times New Roman" w:hAnsi="Times New Roman" w:cs="Times New Roman"/>
          <w:sz w:val="20"/>
          <w:szCs w:val="20"/>
        </w:rPr>
        <w:t xml:space="preserve">tate agencies. Many </w:t>
      </w:r>
      <w:r w:rsidR="00090516">
        <w:rPr>
          <w:rFonts w:ascii="Times New Roman" w:hAnsi="Times New Roman" w:cs="Times New Roman"/>
          <w:sz w:val="20"/>
          <w:szCs w:val="20"/>
        </w:rPr>
        <w:t xml:space="preserve">of the </w:t>
      </w:r>
      <w:r w:rsidRPr="00C1488A">
        <w:rPr>
          <w:rFonts w:ascii="Times New Roman" w:hAnsi="Times New Roman" w:cs="Times New Roman"/>
          <w:sz w:val="20"/>
          <w:szCs w:val="20"/>
        </w:rPr>
        <w:t xml:space="preserve">restrictions </w:t>
      </w:r>
      <w:r w:rsidR="00090516">
        <w:rPr>
          <w:rFonts w:ascii="Times New Roman" w:hAnsi="Times New Roman" w:cs="Times New Roman"/>
          <w:sz w:val="20"/>
          <w:szCs w:val="20"/>
        </w:rPr>
        <w:t xml:space="preserve">that are </w:t>
      </w:r>
      <w:r w:rsidRPr="00C1488A">
        <w:rPr>
          <w:rFonts w:ascii="Times New Roman" w:hAnsi="Times New Roman" w:cs="Times New Roman"/>
          <w:sz w:val="20"/>
          <w:szCs w:val="20"/>
        </w:rPr>
        <w:t xml:space="preserve">placed on </w:t>
      </w:r>
      <w:r w:rsidR="00090516">
        <w:rPr>
          <w:rFonts w:ascii="Times New Roman" w:hAnsi="Times New Roman" w:cs="Times New Roman"/>
          <w:sz w:val="20"/>
          <w:szCs w:val="20"/>
        </w:rPr>
        <w:t>S</w:t>
      </w:r>
      <w:r w:rsidRPr="00C1488A">
        <w:rPr>
          <w:rFonts w:ascii="Times New Roman" w:hAnsi="Times New Roman" w:cs="Times New Roman"/>
          <w:sz w:val="20"/>
          <w:szCs w:val="20"/>
        </w:rPr>
        <w:t xml:space="preserve">tate agencies do not apply to public authorities, including, for example, </w:t>
      </w:r>
      <w:proofErr w:type="gramStart"/>
      <w:r w:rsidRPr="00C1488A">
        <w:rPr>
          <w:rFonts w:ascii="Times New Roman" w:hAnsi="Times New Roman" w:cs="Times New Roman"/>
          <w:sz w:val="20"/>
          <w:szCs w:val="20"/>
        </w:rPr>
        <w:t>general public</w:t>
      </w:r>
      <w:proofErr w:type="gramEnd"/>
      <w:r w:rsidRPr="00C1488A">
        <w:rPr>
          <w:rFonts w:ascii="Times New Roman" w:hAnsi="Times New Roman" w:cs="Times New Roman"/>
          <w:sz w:val="20"/>
          <w:szCs w:val="20"/>
        </w:rPr>
        <w:t xml:space="preserve"> bidding requirements</w:t>
      </w:r>
      <w:r w:rsidR="00090516">
        <w:rPr>
          <w:rFonts w:ascii="Times New Roman" w:hAnsi="Times New Roman" w:cs="Times New Roman"/>
          <w:sz w:val="20"/>
          <w:szCs w:val="20"/>
        </w:rPr>
        <w:t xml:space="preserve">, even though </w:t>
      </w:r>
      <w:r w:rsidRPr="00C1488A">
        <w:rPr>
          <w:rFonts w:ascii="Times New Roman" w:hAnsi="Times New Roman" w:cs="Times New Roman"/>
          <w:sz w:val="20"/>
          <w:szCs w:val="20"/>
        </w:rPr>
        <w:t xml:space="preserve">some public bidding requirements do apply under the Public Authorities Law. </w:t>
      </w:r>
      <w:r w:rsidRPr="00C1488A">
        <w:rPr>
          <w:rFonts w:ascii="Times New Roman" w:hAnsi="Times New Roman" w:cs="Times New Roman"/>
          <w:i/>
          <w:iCs/>
          <w:sz w:val="20"/>
          <w:szCs w:val="20"/>
        </w:rPr>
        <w:t>See</w:t>
      </w:r>
      <w:r w:rsidRPr="00C1488A">
        <w:rPr>
          <w:rFonts w:ascii="Times New Roman" w:hAnsi="Times New Roman" w:cs="Times New Roman"/>
          <w:sz w:val="20"/>
          <w:szCs w:val="20"/>
        </w:rPr>
        <w:t xml:space="preserve"> </w:t>
      </w:r>
      <w:r w:rsidRPr="00C1488A">
        <w:rPr>
          <w:rFonts w:ascii="Times New Roman" w:hAnsi="Times New Roman" w:cs="Times New Roman"/>
          <w:i/>
          <w:iCs/>
          <w:sz w:val="20"/>
          <w:szCs w:val="20"/>
        </w:rPr>
        <w:t xml:space="preserve">Plumbing, Heating, Piping &amp; Air Conditioning Contr. </w:t>
      </w:r>
      <w:proofErr w:type="spellStart"/>
      <w:r w:rsidRPr="00C1488A">
        <w:rPr>
          <w:rFonts w:ascii="Times New Roman" w:hAnsi="Times New Roman" w:cs="Times New Roman"/>
          <w:i/>
          <w:iCs/>
          <w:sz w:val="20"/>
          <w:szCs w:val="20"/>
        </w:rPr>
        <w:t>Ass'n</w:t>
      </w:r>
      <w:proofErr w:type="spellEnd"/>
      <w:r w:rsidRPr="00C1488A">
        <w:rPr>
          <w:rFonts w:ascii="Times New Roman" w:hAnsi="Times New Roman" w:cs="Times New Roman"/>
          <w:i/>
          <w:iCs/>
          <w:sz w:val="20"/>
          <w:szCs w:val="20"/>
        </w:rPr>
        <w:t xml:space="preserve"> v. N.Y.S. Thruway Auth.</w:t>
      </w:r>
      <w:r w:rsidRPr="00C1488A">
        <w:rPr>
          <w:rFonts w:ascii="Times New Roman" w:hAnsi="Times New Roman" w:cs="Times New Roman"/>
          <w:sz w:val="20"/>
          <w:szCs w:val="20"/>
        </w:rPr>
        <w:t xml:space="preserve">, 5 N.Y.2d 420 (1959). Most public authorities may also make </w:t>
      </w:r>
      <w:r w:rsidRPr="00090516">
        <w:rPr>
          <w:rFonts w:ascii="Times New Roman" w:hAnsi="Times New Roman" w:cs="Times New Roman"/>
          <w:sz w:val="20"/>
          <w:szCs w:val="20"/>
        </w:rPr>
        <w:t>contracts</w:t>
      </w:r>
      <w:r w:rsidRPr="00C1488A">
        <w:rPr>
          <w:rFonts w:ascii="Times New Roman" w:hAnsi="Times New Roman" w:cs="Times New Roman"/>
          <w:sz w:val="20"/>
          <w:szCs w:val="20"/>
        </w:rPr>
        <w:t xml:space="preserve">, and because of public authorities' corporate status, </w:t>
      </w:r>
      <w:r w:rsidRPr="00CB6683">
        <w:rPr>
          <w:rFonts w:ascii="Times New Roman" w:hAnsi="Times New Roman" w:cs="Times New Roman"/>
          <w:b/>
          <w:bCs/>
          <w:i/>
          <w:iCs/>
          <w:sz w:val="20"/>
          <w:szCs w:val="20"/>
        </w:rPr>
        <w:t xml:space="preserve">there is generally no remedy against the </w:t>
      </w:r>
      <w:r w:rsidR="00090516" w:rsidRPr="00CB6683">
        <w:rPr>
          <w:rFonts w:ascii="Times New Roman" w:hAnsi="Times New Roman" w:cs="Times New Roman"/>
          <w:b/>
          <w:bCs/>
          <w:i/>
          <w:iCs/>
          <w:sz w:val="20"/>
          <w:szCs w:val="20"/>
        </w:rPr>
        <w:t>S</w:t>
      </w:r>
      <w:r w:rsidRPr="00CB6683">
        <w:rPr>
          <w:rFonts w:ascii="Times New Roman" w:hAnsi="Times New Roman" w:cs="Times New Roman"/>
          <w:b/>
          <w:bCs/>
          <w:i/>
          <w:iCs/>
          <w:sz w:val="20"/>
          <w:szCs w:val="20"/>
        </w:rPr>
        <w:t>tate for the breach of such contracts</w:t>
      </w:r>
      <w:r w:rsidRPr="00C1488A">
        <w:rPr>
          <w:rFonts w:ascii="Times New Roman" w:hAnsi="Times New Roman" w:cs="Times New Roman"/>
          <w:sz w:val="20"/>
          <w:szCs w:val="20"/>
        </w:rPr>
        <w:t xml:space="preserve">. </w:t>
      </w:r>
      <w:r w:rsidRPr="00C1488A">
        <w:rPr>
          <w:rFonts w:ascii="Times New Roman" w:hAnsi="Times New Roman" w:cs="Times New Roman"/>
          <w:i/>
          <w:iCs/>
          <w:sz w:val="20"/>
          <w:szCs w:val="20"/>
        </w:rPr>
        <w:t>John Grace &amp; Co. v. State University Constr. Fund</w:t>
      </w:r>
      <w:r w:rsidRPr="00C1488A">
        <w:rPr>
          <w:rFonts w:ascii="Times New Roman" w:hAnsi="Times New Roman" w:cs="Times New Roman"/>
          <w:sz w:val="20"/>
          <w:szCs w:val="20"/>
        </w:rPr>
        <w:t xml:space="preserve">, 44 N.Y.2d 84 (1978). Many public authorities, such as industrial development agencies and the Empire State Development Corporation, can also </w:t>
      </w:r>
      <w:r w:rsidRPr="00D82C63">
        <w:rPr>
          <w:rFonts w:ascii="Times New Roman" w:hAnsi="Times New Roman" w:cs="Times New Roman"/>
          <w:b/>
          <w:bCs/>
          <w:sz w:val="20"/>
          <w:szCs w:val="20"/>
        </w:rPr>
        <w:t xml:space="preserve">condemn </w:t>
      </w:r>
      <w:r w:rsidRPr="00C1488A">
        <w:rPr>
          <w:rFonts w:ascii="Times New Roman" w:hAnsi="Times New Roman" w:cs="Times New Roman"/>
          <w:sz w:val="20"/>
          <w:szCs w:val="20"/>
        </w:rPr>
        <w:t>property</w:t>
      </w:r>
      <w:r w:rsidR="00090516">
        <w:rPr>
          <w:rFonts w:ascii="Times New Roman" w:hAnsi="Times New Roman" w:cs="Times New Roman"/>
          <w:sz w:val="20"/>
          <w:szCs w:val="20"/>
        </w:rPr>
        <w:t xml:space="preserve">, </w:t>
      </w:r>
      <w:r w:rsidR="00CB6683">
        <w:rPr>
          <w:rFonts w:ascii="Times New Roman" w:hAnsi="Times New Roman" w:cs="Times New Roman"/>
          <w:sz w:val="20"/>
          <w:szCs w:val="20"/>
        </w:rPr>
        <w:t>by invoking</w:t>
      </w:r>
      <w:r w:rsidR="00090516">
        <w:rPr>
          <w:rFonts w:ascii="Times New Roman" w:hAnsi="Times New Roman" w:cs="Times New Roman"/>
          <w:sz w:val="20"/>
          <w:szCs w:val="20"/>
        </w:rPr>
        <w:t xml:space="preserve"> eminent domain</w:t>
      </w:r>
      <w:r w:rsidRPr="00C1488A">
        <w:rPr>
          <w:rFonts w:ascii="Times New Roman" w:hAnsi="Times New Roman" w:cs="Times New Roman"/>
          <w:sz w:val="20"/>
          <w:szCs w:val="20"/>
        </w:rPr>
        <w:t>.</w:t>
      </w:r>
      <w:r w:rsidR="00090516" w:rsidRPr="00C1488A">
        <w:rPr>
          <w:rFonts w:ascii="Times New Roman" w:hAnsi="Times New Roman" w:cs="Times New Roman"/>
          <w:sz w:val="20"/>
          <w:szCs w:val="20"/>
        </w:rPr>
        <w:t xml:space="preserve"> </w:t>
      </w:r>
    </w:p>
    <w:p w14:paraId="503B6359" w14:textId="33FF4092" w:rsidR="00090516" w:rsidRPr="00090516" w:rsidRDefault="00090516" w:rsidP="00090516">
      <w:pPr>
        <w:jc w:val="both"/>
        <w:rPr>
          <w:rFonts w:ascii="Times New Roman" w:hAnsi="Times New Roman" w:cs="Times New Roman"/>
          <w:sz w:val="20"/>
          <w:szCs w:val="20"/>
        </w:rPr>
      </w:pPr>
      <w:r>
        <w:rPr>
          <w:rFonts w:ascii="Times New Roman" w:hAnsi="Times New Roman" w:cs="Times New Roman"/>
          <w:sz w:val="20"/>
          <w:szCs w:val="20"/>
        </w:rPr>
        <w:t>T</w:t>
      </w:r>
      <w:r w:rsidRPr="00090516">
        <w:rPr>
          <w:rFonts w:ascii="Times New Roman" w:hAnsi="Times New Roman" w:cs="Times New Roman"/>
          <w:sz w:val="20"/>
          <w:szCs w:val="20"/>
        </w:rPr>
        <w:t xml:space="preserve">he term "eminent domain" was taken from the </w:t>
      </w:r>
      <w:r w:rsidRPr="00D82C63">
        <w:rPr>
          <w:rFonts w:ascii="Times New Roman" w:hAnsi="Times New Roman" w:cs="Times New Roman"/>
          <w:sz w:val="20"/>
          <w:szCs w:val="20"/>
        </w:rPr>
        <w:t>legal treatise</w:t>
      </w:r>
      <w:r w:rsidRPr="00090516">
        <w:rPr>
          <w:rFonts w:ascii="Times New Roman" w:hAnsi="Times New Roman" w:cs="Times New Roman"/>
          <w:sz w:val="20"/>
          <w:szCs w:val="20"/>
        </w:rPr>
        <w:t xml:space="preserve"> </w:t>
      </w:r>
      <w:r w:rsidRPr="00D82C63">
        <w:rPr>
          <w:rFonts w:ascii="Times New Roman" w:hAnsi="Times New Roman" w:cs="Times New Roman"/>
          <w:i/>
          <w:iCs/>
          <w:sz w:val="20"/>
          <w:szCs w:val="20"/>
        </w:rPr>
        <w:t>De jure belli ac pacis</w:t>
      </w:r>
      <w:r w:rsidRPr="00090516">
        <w:rPr>
          <w:rFonts w:ascii="Times New Roman" w:hAnsi="Times New Roman" w:cs="Times New Roman"/>
          <w:sz w:val="20"/>
          <w:szCs w:val="20"/>
        </w:rPr>
        <w:t xml:space="preserve"> </w:t>
      </w:r>
      <w:r w:rsidR="00D82C63">
        <w:rPr>
          <w:rFonts w:ascii="Times New Roman" w:hAnsi="Times New Roman" w:cs="Times New Roman"/>
          <w:sz w:val="20"/>
          <w:szCs w:val="20"/>
        </w:rPr>
        <w:t xml:space="preserve">meaning </w:t>
      </w:r>
      <w:r w:rsidRPr="00090516">
        <w:rPr>
          <w:rFonts w:ascii="Times New Roman" w:hAnsi="Times New Roman" w:cs="Times New Roman"/>
          <w:i/>
          <w:iCs/>
          <w:sz w:val="20"/>
          <w:szCs w:val="20"/>
        </w:rPr>
        <w:t>On the Law of War and Peace</w:t>
      </w:r>
      <w:r w:rsidRPr="00090516">
        <w:rPr>
          <w:rFonts w:ascii="Times New Roman" w:hAnsi="Times New Roman" w:cs="Times New Roman"/>
          <w:sz w:val="20"/>
          <w:szCs w:val="20"/>
        </w:rPr>
        <w:t xml:space="preserve">, written in 1625 by the </w:t>
      </w:r>
      <w:r w:rsidRPr="00D82C63">
        <w:rPr>
          <w:rFonts w:ascii="Times New Roman" w:hAnsi="Times New Roman" w:cs="Times New Roman"/>
          <w:b/>
          <w:bCs/>
          <w:sz w:val="20"/>
          <w:szCs w:val="20"/>
        </w:rPr>
        <w:t>Dutch jurist Hugo Grotius</w:t>
      </w:r>
      <w:r w:rsidRPr="00090516">
        <w:rPr>
          <w:rFonts w:ascii="Times New Roman" w:hAnsi="Times New Roman" w:cs="Times New Roman"/>
          <w:sz w:val="20"/>
          <w:szCs w:val="20"/>
        </w:rPr>
        <w:t xml:space="preserve">, which used the term </w:t>
      </w:r>
      <w:r w:rsidRPr="00D82C63">
        <w:rPr>
          <w:rFonts w:ascii="Times New Roman" w:hAnsi="Times New Roman" w:cs="Times New Roman"/>
          <w:i/>
          <w:iCs/>
          <w:sz w:val="20"/>
          <w:szCs w:val="20"/>
          <w:lang w:val="la-Latn"/>
        </w:rPr>
        <w:t>dominium</w:t>
      </w:r>
      <w:r w:rsidRPr="00090516">
        <w:rPr>
          <w:rFonts w:ascii="Times New Roman" w:hAnsi="Times New Roman" w:cs="Times New Roman"/>
          <w:i/>
          <w:iCs/>
          <w:sz w:val="20"/>
          <w:szCs w:val="20"/>
          <w:lang w:val="la-Latn"/>
        </w:rPr>
        <w:t xml:space="preserve"> eminens</w:t>
      </w:r>
      <w:r w:rsidR="00D82C63">
        <w:rPr>
          <w:rFonts w:ascii="Times New Roman" w:hAnsi="Times New Roman" w:cs="Times New Roman"/>
          <w:sz w:val="20"/>
          <w:szCs w:val="20"/>
        </w:rPr>
        <w:t xml:space="preserve">, which is </w:t>
      </w:r>
      <w:r w:rsidRPr="00D82C63">
        <w:rPr>
          <w:rFonts w:ascii="Times New Roman" w:hAnsi="Times New Roman" w:cs="Times New Roman"/>
          <w:sz w:val="20"/>
          <w:szCs w:val="20"/>
        </w:rPr>
        <w:t>Latin</w:t>
      </w:r>
      <w:r w:rsidRPr="00090516">
        <w:rPr>
          <w:rFonts w:ascii="Times New Roman" w:hAnsi="Times New Roman" w:cs="Times New Roman"/>
          <w:sz w:val="20"/>
          <w:szCs w:val="20"/>
        </w:rPr>
        <w:t xml:space="preserve"> for "supreme ownership" and described the power as follows:</w:t>
      </w:r>
    </w:p>
    <w:p w14:paraId="115F3676" w14:textId="77777777" w:rsidR="00090516" w:rsidRPr="00D82C63" w:rsidRDefault="00090516" w:rsidP="00D82C63">
      <w:pPr>
        <w:pStyle w:val="ListParagraph"/>
        <w:jc w:val="both"/>
        <w:rPr>
          <w:rFonts w:ascii="Times New Roman" w:hAnsi="Times New Roman" w:cs="Times New Roman"/>
          <w:sz w:val="20"/>
          <w:szCs w:val="20"/>
        </w:rPr>
      </w:pPr>
      <w:r w:rsidRPr="00D82C63">
        <w:rPr>
          <w:rFonts w:ascii="Times New Roman" w:hAnsi="Times New Roman" w:cs="Times New Roman"/>
          <w:sz w:val="20"/>
          <w:szCs w:val="20"/>
        </w:rPr>
        <w:t xml:space="preserve">The property of subjects is under the eminent domain of the state, so that the state or those who act for it may use and even alienate and destroy such property, not only in the case of extreme necessity, </w:t>
      </w:r>
      <w:r w:rsidRPr="00D82C63">
        <w:rPr>
          <w:rFonts w:ascii="Times New Roman" w:hAnsi="Times New Roman" w:cs="Times New Roman"/>
          <w:b/>
          <w:bCs/>
          <w:i/>
          <w:iCs/>
          <w:sz w:val="20"/>
          <w:szCs w:val="20"/>
        </w:rPr>
        <w:t>in which even private persons have a right over the property of others</w:t>
      </w:r>
      <w:r w:rsidRPr="00D82C63">
        <w:rPr>
          <w:rFonts w:ascii="Times New Roman" w:hAnsi="Times New Roman" w:cs="Times New Roman"/>
          <w:sz w:val="20"/>
          <w:szCs w:val="20"/>
        </w:rPr>
        <w:t>, but for ends of public utility, to which ends those who founded civil society must be supposed to have intended that private ends should give way. But, when this is done, the state is bound to make good the loss to those who lose their property.</w:t>
      </w:r>
    </w:p>
    <w:p w14:paraId="0CB8FA47" w14:textId="39188DDB" w:rsidR="00090516" w:rsidRDefault="00090516" w:rsidP="00090516">
      <w:pPr>
        <w:jc w:val="both"/>
        <w:rPr>
          <w:rFonts w:ascii="Times New Roman" w:hAnsi="Times New Roman" w:cs="Times New Roman"/>
          <w:sz w:val="20"/>
          <w:szCs w:val="20"/>
        </w:rPr>
      </w:pPr>
      <w:r w:rsidRPr="00090516">
        <w:rPr>
          <w:rFonts w:ascii="Times New Roman" w:hAnsi="Times New Roman" w:cs="Times New Roman"/>
          <w:sz w:val="20"/>
          <w:szCs w:val="20"/>
        </w:rPr>
        <w:t xml:space="preserve">The exercise of eminent domain is not limited to </w:t>
      </w:r>
      <w:r w:rsidRPr="00D82C63">
        <w:rPr>
          <w:rFonts w:ascii="Times New Roman" w:hAnsi="Times New Roman" w:cs="Times New Roman"/>
          <w:sz w:val="20"/>
          <w:szCs w:val="20"/>
        </w:rPr>
        <w:t>real property</w:t>
      </w:r>
      <w:r w:rsidRPr="00090516">
        <w:rPr>
          <w:rFonts w:ascii="Times New Roman" w:hAnsi="Times New Roman" w:cs="Times New Roman"/>
          <w:sz w:val="20"/>
          <w:szCs w:val="20"/>
        </w:rPr>
        <w:t xml:space="preserve">. </w:t>
      </w:r>
      <w:proofErr w:type="spellStart"/>
      <w:r w:rsidRPr="00090516">
        <w:rPr>
          <w:rFonts w:ascii="Times New Roman" w:hAnsi="Times New Roman" w:cs="Times New Roman"/>
          <w:sz w:val="20"/>
          <w:szCs w:val="20"/>
        </w:rPr>
        <w:t>Condemnors</w:t>
      </w:r>
      <w:proofErr w:type="spellEnd"/>
      <w:r w:rsidRPr="00090516">
        <w:rPr>
          <w:rFonts w:ascii="Times New Roman" w:hAnsi="Times New Roman" w:cs="Times New Roman"/>
          <w:sz w:val="20"/>
          <w:szCs w:val="20"/>
        </w:rPr>
        <w:t xml:space="preserve"> may also take </w:t>
      </w:r>
      <w:r w:rsidRPr="00D82C63">
        <w:rPr>
          <w:rFonts w:ascii="Times New Roman" w:hAnsi="Times New Roman" w:cs="Times New Roman"/>
          <w:sz w:val="20"/>
          <w:szCs w:val="20"/>
        </w:rPr>
        <w:t>personal property</w:t>
      </w:r>
      <w:r w:rsidRPr="00090516">
        <w:rPr>
          <w:rFonts w:ascii="Times New Roman" w:hAnsi="Times New Roman" w:cs="Times New Roman"/>
          <w:sz w:val="20"/>
          <w:szCs w:val="20"/>
        </w:rPr>
        <w:t>,</w:t>
      </w:r>
      <w:r w:rsidR="00D82C63" w:rsidRPr="00090516">
        <w:rPr>
          <w:rFonts w:ascii="Times New Roman" w:hAnsi="Times New Roman" w:cs="Times New Roman"/>
          <w:sz w:val="20"/>
          <w:szCs w:val="20"/>
        </w:rPr>
        <w:t xml:space="preserve"> </w:t>
      </w:r>
      <w:r w:rsidRPr="00090516">
        <w:rPr>
          <w:rFonts w:ascii="Times New Roman" w:hAnsi="Times New Roman" w:cs="Times New Roman"/>
          <w:sz w:val="20"/>
          <w:szCs w:val="20"/>
        </w:rPr>
        <w:t xml:space="preserve">even </w:t>
      </w:r>
      <w:r w:rsidRPr="00D82C63">
        <w:rPr>
          <w:rFonts w:ascii="Times New Roman" w:hAnsi="Times New Roman" w:cs="Times New Roman"/>
          <w:sz w:val="20"/>
          <w:szCs w:val="20"/>
        </w:rPr>
        <w:t>intangible property</w:t>
      </w:r>
      <w:r w:rsidRPr="00090516">
        <w:rPr>
          <w:rFonts w:ascii="Times New Roman" w:hAnsi="Times New Roman" w:cs="Times New Roman"/>
          <w:sz w:val="20"/>
          <w:szCs w:val="20"/>
        </w:rPr>
        <w:t xml:space="preserve"> such as </w:t>
      </w:r>
      <w:r w:rsidRPr="00D82C63">
        <w:rPr>
          <w:rFonts w:ascii="Times New Roman" w:hAnsi="Times New Roman" w:cs="Times New Roman"/>
          <w:sz w:val="20"/>
          <w:szCs w:val="20"/>
        </w:rPr>
        <w:t>contract</w:t>
      </w:r>
      <w:r w:rsidRPr="00090516">
        <w:rPr>
          <w:rFonts w:ascii="Times New Roman" w:hAnsi="Times New Roman" w:cs="Times New Roman"/>
          <w:sz w:val="20"/>
          <w:szCs w:val="20"/>
        </w:rPr>
        <w:t xml:space="preserve"> rights, </w:t>
      </w:r>
      <w:r w:rsidRPr="00D82C63">
        <w:rPr>
          <w:rFonts w:ascii="Times New Roman" w:hAnsi="Times New Roman" w:cs="Times New Roman"/>
          <w:sz w:val="20"/>
          <w:szCs w:val="20"/>
        </w:rPr>
        <w:t>patents</w:t>
      </w:r>
      <w:r w:rsidRPr="00090516">
        <w:rPr>
          <w:rFonts w:ascii="Times New Roman" w:hAnsi="Times New Roman" w:cs="Times New Roman"/>
          <w:sz w:val="20"/>
          <w:szCs w:val="20"/>
        </w:rPr>
        <w:t xml:space="preserve">, </w:t>
      </w:r>
      <w:r w:rsidRPr="00D82C63">
        <w:rPr>
          <w:rFonts w:ascii="Times New Roman" w:hAnsi="Times New Roman" w:cs="Times New Roman"/>
          <w:sz w:val="20"/>
          <w:szCs w:val="20"/>
        </w:rPr>
        <w:t>trade secrets</w:t>
      </w:r>
      <w:r w:rsidRPr="00090516">
        <w:rPr>
          <w:rFonts w:ascii="Times New Roman" w:hAnsi="Times New Roman" w:cs="Times New Roman"/>
          <w:sz w:val="20"/>
          <w:szCs w:val="20"/>
        </w:rPr>
        <w:t xml:space="preserve">, and </w:t>
      </w:r>
      <w:r w:rsidRPr="00D82C63">
        <w:rPr>
          <w:rFonts w:ascii="Times New Roman" w:hAnsi="Times New Roman" w:cs="Times New Roman"/>
          <w:sz w:val="20"/>
          <w:szCs w:val="20"/>
        </w:rPr>
        <w:t>copyrights</w:t>
      </w:r>
      <w:r w:rsidRPr="00090516">
        <w:rPr>
          <w:rFonts w:ascii="Times New Roman" w:hAnsi="Times New Roman" w:cs="Times New Roman"/>
          <w:sz w:val="20"/>
          <w:szCs w:val="20"/>
        </w:rPr>
        <w:t xml:space="preserve">. Even the taking of a </w:t>
      </w:r>
      <w:r w:rsidRPr="00D82C63">
        <w:rPr>
          <w:rFonts w:ascii="Times New Roman" w:hAnsi="Times New Roman" w:cs="Times New Roman"/>
          <w:sz w:val="20"/>
          <w:szCs w:val="20"/>
        </w:rPr>
        <w:t>professional</w:t>
      </w:r>
      <w:r w:rsidRPr="00090516">
        <w:rPr>
          <w:rFonts w:ascii="Times New Roman" w:hAnsi="Times New Roman" w:cs="Times New Roman"/>
          <w:sz w:val="20"/>
          <w:szCs w:val="20"/>
        </w:rPr>
        <w:t xml:space="preserve"> </w:t>
      </w:r>
      <w:r w:rsidRPr="00D82C63">
        <w:rPr>
          <w:rFonts w:ascii="Times New Roman" w:hAnsi="Times New Roman" w:cs="Times New Roman"/>
          <w:sz w:val="20"/>
          <w:szCs w:val="20"/>
        </w:rPr>
        <w:t>sports team</w:t>
      </w:r>
      <w:r w:rsidRPr="00090516">
        <w:rPr>
          <w:rFonts w:ascii="Times New Roman" w:hAnsi="Times New Roman" w:cs="Times New Roman"/>
          <w:sz w:val="20"/>
          <w:szCs w:val="20"/>
        </w:rPr>
        <w:t xml:space="preserve">'s franchise has been held by the </w:t>
      </w:r>
      <w:r w:rsidRPr="00D82C63">
        <w:rPr>
          <w:rFonts w:ascii="Times New Roman" w:hAnsi="Times New Roman" w:cs="Times New Roman"/>
          <w:sz w:val="20"/>
          <w:szCs w:val="20"/>
        </w:rPr>
        <w:t>California Supreme Court</w:t>
      </w:r>
      <w:r w:rsidRPr="00090516">
        <w:rPr>
          <w:rFonts w:ascii="Times New Roman" w:hAnsi="Times New Roman" w:cs="Times New Roman"/>
          <w:sz w:val="20"/>
          <w:szCs w:val="20"/>
        </w:rPr>
        <w:t xml:space="preserve"> to be within the purview of the "public use" constitutional limitation; although eventually, that taking of the </w:t>
      </w:r>
      <w:r w:rsidRPr="00D82C63">
        <w:rPr>
          <w:rFonts w:ascii="Times New Roman" w:hAnsi="Times New Roman" w:cs="Times New Roman"/>
          <w:sz w:val="20"/>
          <w:szCs w:val="20"/>
        </w:rPr>
        <w:t>Oakland Raiders</w:t>
      </w:r>
      <w:r w:rsidRPr="00090516">
        <w:rPr>
          <w:rFonts w:ascii="Times New Roman" w:hAnsi="Times New Roman" w:cs="Times New Roman"/>
          <w:sz w:val="20"/>
          <w:szCs w:val="20"/>
        </w:rPr>
        <w:t xml:space="preserve">' </w:t>
      </w:r>
      <w:r w:rsidRPr="00D82C63">
        <w:rPr>
          <w:rFonts w:ascii="Times New Roman" w:hAnsi="Times New Roman" w:cs="Times New Roman"/>
          <w:sz w:val="20"/>
          <w:szCs w:val="20"/>
        </w:rPr>
        <w:t>NFL</w:t>
      </w:r>
      <w:r w:rsidRPr="00090516">
        <w:rPr>
          <w:rFonts w:ascii="Times New Roman" w:hAnsi="Times New Roman" w:cs="Times New Roman"/>
          <w:sz w:val="20"/>
          <w:szCs w:val="20"/>
        </w:rPr>
        <w:t xml:space="preserve"> franchise was not permitted because it was deemed to violate the </w:t>
      </w:r>
      <w:r w:rsidRPr="00D82C63">
        <w:rPr>
          <w:rFonts w:ascii="Times New Roman" w:hAnsi="Times New Roman" w:cs="Times New Roman"/>
          <w:sz w:val="20"/>
          <w:szCs w:val="20"/>
        </w:rPr>
        <w:t>Interstate Commerce Clause</w:t>
      </w:r>
      <w:r w:rsidRPr="00090516">
        <w:rPr>
          <w:rFonts w:ascii="Times New Roman" w:hAnsi="Times New Roman" w:cs="Times New Roman"/>
          <w:sz w:val="20"/>
          <w:szCs w:val="20"/>
        </w:rPr>
        <w:t xml:space="preserve"> of the U.S. Constitution.</w:t>
      </w:r>
      <w:r w:rsidR="00D82C63" w:rsidRPr="00090516">
        <w:rPr>
          <w:rFonts w:ascii="Times New Roman" w:hAnsi="Times New Roman" w:cs="Times New Roman"/>
          <w:sz w:val="20"/>
          <w:szCs w:val="20"/>
        </w:rPr>
        <w:t xml:space="preserve"> </w:t>
      </w:r>
    </w:p>
    <w:p w14:paraId="21D55373" w14:textId="0F2C2757" w:rsidR="00935BF2" w:rsidRDefault="00935BF2" w:rsidP="00935BF2">
      <w:pPr>
        <w:jc w:val="both"/>
        <w:rPr>
          <w:rFonts w:ascii="Times New Roman" w:hAnsi="Times New Roman" w:cs="Times New Roman"/>
          <w:sz w:val="20"/>
          <w:szCs w:val="20"/>
        </w:rPr>
      </w:pPr>
      <w:r w:rsidRPr="00935BF2">
        <w:rPr>
          <w:rFonts w:ascii="Times New Roman" w:hAnsi="Times New Roman" w:cs="Times New Roman"/>
          <w:sz w:val="20"/>
          <w:szCs w:val="20"/>
        </w:rPr>
        <w:t xml:space="preserve">Most </w:t>
      </w:r>
      <w:r>
        <w:rPr>
          <w:rFonts w:ascii="Times New Roman" w:hAnsi="Times New Roman" w:cs="Times New Roman"/>
          <w:sz w:val="20"/>
          <w:szCs w:val="20"/>
        </w:rPr>
        <w:t>S</w:t>
      </w:r>
      <w:r w:rsidRPr="00935BF2">
        <w:rPr>
          <w:rFonts w:ascii="Times New Roman" w:hAnsi="Times New Roman" w:cs="Times New Roman"/>
          <w:sz w:val="20"/>
          <w:szCs w:val="20"/>
        </w:rPr>
        <w:t xml:space="preserve">tates use the term </w:t>
      </w:r>
      <w:r w:rsidRPr="00935BF2">
        <w:rPr>
          <w:rFonts w:ascii="Times New Roman" w:hAnsi="Times New Roman" w:cs="Times New Roman"/>
          <w:i/>
          <w:iCs/>
          <w:sz w:val="20"/>
          <w:szCs w:val="20"/>
        </w:rPr>
        <w:t>eminent domain</w:t>
      </w:r>
      <w:r w:rsidRPr="00935BF2">
        <w:rPr>
          <w:rFonts w:ascii="Times New Roman" w:hAnsi="Times New Roman" w:cs="Times New Roman"/>
          <w:sz w:val="20"/>
          <w:szCs w:val="20"/>
        </w:rPr>
        <w:t xml:space="preserve">, but some U.S. states use the term </w:t>
      </w:r>
      <w:r w:rsidRPr="00935BF2">
        <w:rPr>
          <w:rFonts w:ascii="Times New Roman" w:hAnsi="Times New Roman" w:cs="Times New Roman"/>
          <w:b/>
          <w:bCs/>
          <w:i/>
          <w:iCs/>
          <w:sz w:val="20"/>
          <w:szCs w:val="20"/>
        </w:rPr>
        <w:t>appropriation</w:t>
      </w:r>
      <w:r w:rsidRPr="00935BF2">
        <w:rPr>
          <w:rFonts w:ascii="Times New Roman" w:hAnsi="Times New Roman" w:cs="Times New Roman"/>
          <w:sz w:val="20"/>
          <w:szCs w:val="20"/>
        </w:rPr>
        <w:t xml:space="preserve"> or </w:t>
      </w:r>
      <w:r w:rsidRPr="00935BF2">
        <w:rPr>
          <w:rFonts w:ascii="Times New Roman" w:hAnsi="Times New Roman" w:cs="Times New Roman"/>
          <w:i/>
          <w:iCs/>
          <w:sz w:val="20"/>
          <w:szCs w:val="20"/>
        </w:rPr>
        <w:t>expropriation</w:t>
      </w:r>
      <w:r w:rsidRPr="00935BF2">
        <w:rPr>
          <w:rFonts w:ascii="Times New Roman" w:hAnsi="Times New Roman" w:cs="Times New Roman"/>
          <w:sz w:val="20"/>
          <w:szCs w:val="20"/>
        </w:rPr>
        <w:t xml:space="preserve"> </w:t>
      </w:r>
      <w:r>
        <w:rPr>
          <w:rFonts w:ascii="Times New Roman" w:hAnsi="Times New Roman" w:cs="Times New Roman"/>
          <w:sz w:val="20"/>
          <w:szCs w:val="20"/>
        </w:rPr>
        <w:t xml:space="preserve">as in </w:t>
      </w:r>
      <w:r w:rsidRPr="00935BF2">
        <w:rPr>
          <w:rFonts w:ascii="Times New Roman" w:hAnsi="Times New Roman" w:cs="Times New Roman"/>
          <w:sz w:val="20"/>
          <w:szCs w:val="20"/>
        </w:rPr>
        <w:t>Louisiana</w:t>
      </w:r>
      <w:r>
        <w:rPr>
          <w:rFonts w:ascii="Times New Roman" w:hAnsi="Times New Roman" w:cs="Times New Roman"/>
          <w:sz w:val="20"/>
          <w:szCs w:val="20"/>
        </w:rPr>
        <w:t>,</w:t>
      </w:r>
      <w:r w:rsidRPr="00935BF2">
        <w:rPr>
          <w:rFonts w:ascii="Times New Roman" w:hAnsi="Times New Roman" w:cs="Times New Roman"/>
          <w:sz w:val="20"/>
          <w:szCs w:val="20"/>
        </w:rPr>
        <w:t xml:space="preserve"> as synonyms for the exercise of eminent domain powers. The term </w:t>
      </w:r>
      <w:r w:rsidRPr="00935BF2">
        <w:rPr>
          <w:rFonts w:ascii="Times New Roman" w:hAnsi="Times New Roman" w:cs="Times New Roman"/>
          <w:b/>
          <w:bCs/>
          <w:i/>
          <w:iCs/>
          <w:sz w:val="20"/>
          <w:szCs w:val="20"/>
        </w:rPr>
        <w:t>condemnation</w:t>
      </w:r>
      <w:r w:rsidRPr="00935BF2">
        <w:rPr>
          <w:rFonts w:ascii="Times New Roman" w:hAnsi="Times New Roman" w:cs="Times New Roman"/>
          <w:sz w:val="20"/>
          <w:szCs w:val="20"/>
        </w:rPr>
        <w:t xml:space="preserve"> is used to describe the formal act of exercising the power to </w:t>
      </w:r>
      <w:r w:rsidRPr="00935BF2">
        <w:rPr>
          <w:rFonts w:ascii="Times New Roman" w:hAnsi="Times New Roman" w:cs="Times New Roman"/>
          <w:b/>
          <w:bCs/>
          <w:sz w:val="20"/>
          <w:szCs w:val="20"/>
        </w:rPr>
        <w:t>transfer title</w:t>
      </w:r>
      <w:r w:rsidRPr="00935BF2">
        <w:rPr>
          <w:rFonts w:ascii="Times New Roman" w:hAnsi="Times New Roman" w:cs="Times New Roman"/>
          <w:sz w:val="20"/>
          <w:szCs w:val="20"/>
        </w:rPr>
        <w:t xml:space="preserve"> or some lesser interest in the subject property.</w:t>
      </w:r>
      <w:r>
        <w:rPr>
          <w:rFonts w:ascii="Times New Roman" w:hAnsi="Times New Roman" w:cs="Times New Roman"/>
          <w:sz w:val="20"/>
          <w:szCs w:val="20"/>
        </w:rPr>
        <w:t xml:space="preserve"> </w:t>
      </w:r>
      <w:r w:rsidRPr="00935BF2">
        <w:rPr>
          <w:rFonts w:ascii="Times New Roman" w:hAnsi="Times New Roman" w:cs="Times New Roman"/>
          <w:sz w:val="20"/>
          <w:szCs w:val="20"/>
        </w:rPr>
        <w:t>The constitutionally required "just compensation" in partial takings is usually measured by fair market value of the part taken, plus severance damages</w:t>
      </w:r>
      <w:r>
        <w:rPr>
          <w:rFonts w:ascii="Times New Roman" w:hAnsi="Times New Roman" w:cs="Times New Roman"/>
          <w:sz w:val="20"/>
          <w:szCs w:val="20"/>
        </w:rPr>
        <w:t xml:space="preserve">, i.e., </w:t>
      </w:r>
      <w:r w:rsidRPr="00935BF2">
        <w:rPr>
          <w:rFonts w:ascii="Times New Roman" w:hAnsi="Times New Roman" w:cs="Times New Roman"/>
          <w:sz w:val="20"/>
          <w:szCs w:val="20"/>
        </w:rPr>
        <w:t>the diminution in value of the property retained by the owner</w:t>
      </w:r>
      <w:r>
        <w:rPr>
          <w:rFonts w:ascii="Times New Roman" w:hAnsi="Times New Roman" w:cs="Times New Roman"/>
          <w:sz w:val="20"/>
          <w:szCs w:val="20"/>
        </w:rPr>
        <w:t xml:space="preserve">, termed the </w:t>
      </w:r>
      <w:r w:rsidRPr="00935BF2">
        <w:rPr>
          <w:rFonts w:ascii="Times New Roman" w:hAnsi="Times New Roman" w:cs="Times New Roman"/>
          <w:sz w:val="20"/>
          <w:szCs w:val="20"/>
        </w:rPr>
        <w:t>remainder</w:t>
      </w:r>
      <w:r>
        <w:rPr>
          <w:rFonts w:ascii="Times New Roman" w:hAnsi="Times New Roman" w:cs="Times New Roman"/>
          <w:sz w:val="20"/>
          <w:szCs w:val="20"/>
        </w:rPr>
        <w:t>,</w:t>
      </w:r>
      <w:r w:rsidRPr="00935BF2">
        <w:rPr>
          <w:rFonts w:ascii="Times New Roman" w:hAnsi="Times New Roman" w:cs="Times New Roman"/>
          <w:sz w:val="20"/>
          <w:szCs w:val="20"/>
        </w:rPr>
        <w:t xml:space="preserve"> when only a part of the subject property is taken. Where a partial taking provides economic benefits specific to the remainder, those must be deducted, typically from severance damages. Some elements of value, such as a business's connection to the location and the goodwill of the public, are only compensable in a few jurisdictions; where they are not, fair market value may be less than the value of the location to the current user.</w:t>
      </w:r>
    </w:p>
    <w:p w14:paraId="7DE4A039" w14:textId="2506F681" w:rsidR="00C07F93" w:rsidRPr="00935BF2" w:rsidRDefault="00C07F93" w:rsidP="00C07F93">
      <w:pPr>
        <w:jc w:val="both"/>
        <w:rPr>
          <w:rFonts w:ascii="Times New Roman" w:hAnsi="Times New Roman" w:cs="Times New Roman"/>
          <w:sz w:val="20"/>
          <w:szCs w:val="20"/>
        </w:rPr>
      </w:pPr>
      <w:r w:rsidRPr="00935BF2">
        <w:rPr>
          <w:rFonts w:ascii="Times New Roman" w:hAnsi="Times New Roman" w:cs="Times New Roman"/>
          <w:sz w:val="20"/>
          <w:szCs w:val="20"/>
        </w:rPr>
        <w:t xml:space="preserve">The </w:t>
      </w:r>
      <w:r w:rsidRPr="004C1A9C">
        <w:rPr>
          <w:rFonts w:ascii="Times New Roman" w:hAnsi="Times New Roman" w:cs="Times New Roman"/>
          <w:sz w:val="20"/>
          <w:szCs w:val="20"/>
        </w:rPr>
        <w:t>U.S. Supreme Court</w:t>
      </w:r>
      <w:r w:rsidRPr="00935BF2">
        <w:rPr>
          <w:rFonts w:ascii="Times New Roman" w:hAnsi="Times New Roman" w:cs="Times New Roman"/>
          <w:sz w:val="20"/>
          <w:szCs w:val="20"/>
        </w:rPr>
        <w:t xml:space="preserve"> has consistently deferred to the right of </w:t>
      </w:r>
      <w:r>
        <w:rPr>
          <w:rFonts w:ascii="Times New Roman" w:hAnsi="Times New Roman" w:cs="Times New Roman"/>
          <w:sz w:val="20"/>
          <w:szCs w:val="20"/>
        </w:rPr>
        <w:t>S</w:t>
      </w:r>
      <w:r w:rsidRPr="00935BF2">
        <w:rPr>
          <w:rFonts w:ascii="Times New Roman" w:hAnsi="Times New Roman" w:cs="Times New Roman"/>
          <w:sz w:val="20"/>
          <w:szCs w:val="20"/>
        </w:rPr>
        <w:t>tates to make their own determinations of "public use".</w:t>
      </w:r>
      <w:r>
        <w:rPr>
          <w:rFonts w:ascii="Times New Roman" w:hAnsi="Times New Roman" w:cs="Times New Roman"/>
          <w:sz w:val="20"/>
          <w:szCs w:val="20"/>
        </w:rPr>
        <w:t xml:space="preserve"> </w:t>
      </w:r>
      <w:r w:rsidRPr="00935BF2">
        <w:rPr>
          <w:rFonts w:ascii="Times New Roman" w:hAnsi="Times New Roman" w:cs="Times New Roman"/>
          <w:sz w:val="20"/>
          <w:szCs w:val="20"/>
        </w:rPr>
        <w:t>Since the 1950s, the U.S. Supreme Court has issued three major rulings expanding the government's power of eminent domain</w:t>
      </w:r>
      <w:r>
        <w:rPr>
          <w:rFonts w:ascii="Times New Roman" w:hAnsi="Times New Roman" w:cs="Times New Roman"/>
          <w:sz w:val="20"/>
          <w:szCs w:val="20"/>
        </w:rPr>
        <w:t xml:space="preserve"> for public use</w:t>
      </w:r>
      <w:r w:rsidRPr="00935BF2">
        <w:rPr>
          <w:rFonts w:ascii="Times New Roman" w:hAnsi="Times New Roman" w:cs="Times New Roman"/>
          <w:sz w:val="20"/>
          <w:szCs w:val="20"/>
        </w:rPr>
        <w:t xml:space="preserve">; they are: </w:t>
      </w:r>
      <w:r>
        <w:rPr>
          <w:rFonts w:ascii="Times New Roman" w:hAnsi="Times New Roman" w:cs="Times New Roman"/>
          <w:sz w:val="20"/>
          <w:szCs w:val="20"/>
        </w:rPr>
        <w:t xml:space="preserve">1) </w:t>
      </w:r>
      <w:r w:rsidRPr="00935BF2">
        <w:rPr>
          <w:rFonts w:ascii="Times New Roman" w:hAnsi="Times New Roman" w:cs="Times New Roman"/>
          <w:i/>
          <w:iCs/>
          <w:sz w:val="20"/>
          <w:szCs w:val="20"/>
        </w:rPr>
        <w:t>Berman v. Parker</w:t>
      </w:r>
      <w:r w:rsidRPr="00935BF2">
        <w:rPr>
          <w:rFonts w:ascii="Times New Roman" w:hAnsi="Times New Roman" w:cs="Times New Roman"/>
          <w:sz w:val="20"/>
          <w:szCs w:val="20"/>
        </w:rPr>
        <w:t xml:space="preserve"> (1954), </w:t>
      </w:r>
      <w:r>
        <w:rPr>
          <w:rFonts w:ascii="Times New Roman" w:hAnsi="Times New Roman" w:cs="Times New Roman"/>
          <w:sz w:val="20"/>
          <w:szCs w:val="20"/>
        </w:rPr>
        <w:t xml:space="preserve">2) </w:t>
      </w:r>
      <w:r w:rsidRPr="00935BF2">
        <w:rPr>
          <w:rFonts w:ascii="Times New Roman" w:hAnsi="Times New Roman" w:cs="Times New Roman"/>
          <w:i/>
          <w:iCs/>
          <w:sz w:val="20"/>
          <w:szCs w:val="20"/>
        </w:rPr>
        <w:t>Hawaii Housing Authority v. Midkiff</w:t>
      </w:r>
      <w:r w:rsidRPr="00935BF2">
        <w:rPr>
          <w:rFonts w:ascii="Times New Roman" w:hAnsi="Times New Roman" w:cs="Times New Roman"/>
          <w:sz w:val="20"/>
          <w:szCs w:val="20"/>
        </w:rPr>
        <w:t xml:space="preserve"> (1984), and </w:t>
      </w:r>
      <w:r>
        <w:rPr>
          <w:rFonts w:ascii="Times New Roman" w:hAnsi="Times New Roman" w:cs="Times New Roman"/>
          <w:sz w:val="20"/>
          <w:szCs w:val="20"/>
        </w:rPr>
        <w:t xml:space="preserve">3) </w:t>
      </w:r>
      <w:r w:rsidRPr="00935BF2">
        <w:rPr>
          <w:rFonts w:ascii="Times New Roman" w:hAnsi="Times New Roman" w:cs="Times New Roman"/>
          <w:i/>
          <w:iCs/>
          <w:sz w:val="20"/>
          <w:szCs w:val="20"/>
        </w:rPr>
        <w:t>Kelo v. City of New London</w:t>
      </w:r>
      <w:r>
        <w:rPr>
          <w:rFonts w:ascii="Times New Roman" w:hAnsi="Times New Roman" w:cs="Times New Roman"/>
          <w:i/>
          <w:iCs/>
          <w:sz w:val="20"/>
          <w:szCs w:val="20"/>
        </w:rPr>
        <w:t xml:space="preserve">, </w:t>
      </w:r>
    </w:p>
    <w:p w14:paraId="0FEF2C5C" w14:textId="50B0305A" w:rsidR="00935BF2" w:rsidRPr="00935BF2" w:rsidRDefault="00935BF2" w:rsidP="00935BF2">
      <w:pPr>
        <w:jc w:val="both"/>
        <w:rPr>
          <w:rFonts w:ascii="Times New Roman" w:hAnsi="Times New Roman" w:cs="Times New Roman"/>
          <w:sz w:val="20"/>
          <w:szCs w:val="20"/>
        </w:rPr>
      </w:pPr>
      <w:r w:rsidRPr="00935BF2">
        <w:rPr>
          <w:rFonts w:ascii="Times New Roman" w:hAnsi="Times New Roman" w:cs="Times New Roman"/>
          <w:sz w:val="20"/>
          <w:szCs w:val="20"/>
        </w:rPr>
        <w:t xml:space="preserve">The practice of condemnation came to the American colonies with the </w:t>
      </w:r>
      <w:r>
        <w:rPr>
          <w:rFonts w:ascii="Times New Roman" w:hAnsi="Times New Roman" w:cs="Times New Roman"/>
          <w:sz w:val="20"/>
          <w:szCs w:val="20"/>
        </w:rPr>
        <w:t xml:space="preserve">English </w:t>
      </w:r>
      <w:r w:rsidRPr="00935BF2">
        <w:rPr>
          <w:rFonts w:ascii="Times New Roman" w:hAnsi="Times New Roman" w:cs="Times New Roman"/>
          <w:sz w:val="20"/>
          <w:szCs w:val="20"/>
        </w:rPr>
        <w:t>common law</w:t>
      </w:r>
      <w:r>
        <w:rPr>
          <w:rFonts w:ascii="Times New Roman" w:hAnsi="Times New Roman" w:cs="Times New Roman"/>
          <w:sz w:val="20"/>
          <w:szCs w:val="20"/>
        </w:rPr>
        <w:t>.</w:t>
      </w:r>
      <w:r w:rsidRPr="00935BF2">
        <w:rPr>
          <w:rFonts w:ascii="Times New Roman" w:hAnsi="Times New Roman" w:cs="Times New Roman"/>
          <w:sz w:val="20"/>
          <w:szCs w:val="20"/>
        </w:rPr>
        <w:t xml:space="preserve"> The Fifth Amendment to the </w:t>
      </w:r>
      <w:r>
        <w:rPr>
          <w:rFonts w:ascii="Times New Roman" w:hAnsi="Times New Roman" w:cs="Times New Roman"/>
          <w:sz w:val="20"/>
          <w:szCs w:val="20"/>
        </w:rPr>
        <w:t xml:space="preserve">U.S. </w:t>
      </w:r>
      <w:r w:rsidRPr="00935BF2">
        <w:rPr>
          <w:rFonts w:ascii="Times New Roman" w:hAnsi="Times New Roman" w:cs="Times New Roman"/>
          <w:sz w:val="20"/>
          <w:szCs w:val="20"/>
        </w:rPr>
        <w:t xml:space="preserve">Constitution requires that the taking be for a "public use" and mandates payment of "just compensation" to the owner. </w:t>
      </w:r>
    </w:p>
    <w:p w14:paraId="21C07B30" w14:textId="6D95B346" w:rsidR="00935BF2" w:rsidRPr="00935BF2" w:rsidRDefault="00935BF2" w:rsidP="00935BF2">
      <w:pPr>
        <w:pStyle w:val="ListParagraph"/>
        <w:jc w:val="both"/>
        <w:rPr>
          <w:rFonts w:ascii="Times New Roman" w:hAnsi="Times New Roman" w:cs="Times New Roman"/>
          <w:sz w:val="20"/>
          <w:szCs w:val="20"/>
        </w:rPr>
      </w:pPr>
      <w:r w:rsidRPr="00935BF2">
        <w:rPr>
          <w:rFonts w:ascii="Times New Roman" w:hAnsi="Times New Roman" w:cs="Times New Roman"/>
          <w:sz w:val="20"/>
          <w:szCs w:val="20"/>
        </w:rPr>
        <w:t xml:space="preserve">In federal law, Congress can take private property directly </w:t>
      </w:r>
      <w:r w:rsidR="00CB6683">
        <w:rPr>
          <w:rFonts w:ascii="Times New Roman" w:hAnsi="Times New Roman" w:cs="Times New Roman"/>
          <w:sz w:val="20"/>
          <w:szCs w:val="20"/>
        </w:rPr>
        <w:t>–</w:t>
      </w:r>
      <w:r w:rsidRPr="00935BF2">
        <w:rPr>
          <w:rFonts w:ascii="Times New Roman" w:hAnsi="Times New Roman" w:cs="Times New Roman"/>
          <w:sz w:val="20"/>
          <w:szCs w:val="20"/>
        </w:rPr>
        <w:t xml:space="preserve"> </w:t>
      </w:r>
      <w:r w:rsidR="00CB6683">
        <w:rPr>
          <w:rFonts w:ascii="Times New Roman" w:hAnsi="Times New Roman" w:cs="Times New Roman"/>
          <w:sz w:val="20"/>
          <w:szCs w:val="20"/>
        </w:rPr>
        <w:t>“</w:t>
      </w:r>
      <w:r w:rsidR="00CB6683" w:rsidRPr="004C1A9C">
        <w:rPr>
          <w:rFonts w:ascii="Times New Roman" w:hAnsi="Times New Roman" w:cs="Times New Roman"/>
          <w:b/>
          <w:bCs/>
          <w:sz w:val="20"/>
          <w:szCs w:val="20"/>
        </w:rPr>
        <w:t>WITHOUT RECOURSE</w:t>
      </w:r>
      <w:r w:rsidR="00CB6683">
        <w:rPr>
          <w:rFonts w:ascii="Times New Roman" w:hAnsi="Times New Roman" w:cs="Times New Roman"/>
          <w:sz w:val="20"/>
          <w:szCs w:val="20"/>
        </w:rPr>
        <w:t xml:space="preserve">”, meaning, </w:t>
      </w:r>
      <w:r w:rsidRPr="00935BF2">
        <w:rPr>
          <w:rFonts w:ascii="Times New Roman" w:hAnsi="Times New Roman" w:cs="Times New Roman"/>
          <w:sz w:val="20"/>
          <w:szCs w:val="20"/>
        </w:rPr>
        <w:t xml:space="preserve">without recourse to the courts - by passing an Act transferring title of the subject property directly to the government. </w:t>
      </w:r>
    </w:p>
    <w:p w14:paraId="460E8630" w14:textId="4B341BF9" w:rsidR="00935BF2" w:rsidRDefault="00935BF2" w:rsidP="00935BF2">
      <w:pPr>
        <w:jc w:val="both"/>
        <w:rPr>
          <w:rFonts w:ascii="Times New Roman" w:hAnsi="Times New Roman" w:cs="Times New Roman"/>
          <w:sz w:val="20"/>
          <w:szCs w:val="20"/>
        </w:rPr>
      </w:pPr>
      <w:r w:rsidRPr="00935BF2">
        <w:rPr>
          <w:rFonts w:ascii="Times New Roman" w:hAnsi="Times New Roman" w:cs="Times New Roman"/>
          <w:sz w:val="20"/>
          <w:szCs w:val="20"/>
        </w:rPr>
        <w:t>In such cases, the property owner seeking compensation must sue the United States for compensation in the U.S. Court of Federal Claims</w:t>
      </w:r>
      <w:r w:rsidR="004C1A9C">
        <w:rPr>
          <w:rFonts w:ascii="Times New Roman" w:hAnsi="Times New Roman" w:cs="Times New Roman"/>
          <w:sz w:val="20"/>
          <w:szCs w:val="20"/>
        </w:rPr>
        <w:t>, a course of action which will never provide remedy because the United States is bankrupt</w:t>
      </w:r>
      <w:r w:rsidRPr="00935BF2">
        <w:rPr>
          <w:rFonts w:ascii="Times New Roman" w:hAnsi="Times New Roman" w:cs="Times New Roman"/>
          <w:sz w:val="20"/>
          <w:szCs w:val="20"/>
        </w:rPr>
        <w:t xml:space="preserve">. </w:t>
      </w:r>
      <w:r w:rsidRPr="004C1A9C">
        <w:rPr>
          <w:rFonts w:ascii="Times New Roman" w:hAnsi="Times New Roman" w:cs="Times New Roman"/>
          <w:sz w:val="20"/>
          <w:szCs w:val="20"/>
        </w:rPr>
        <w:t xml:space="preserve">The </w:t>
      </w:r>
      <w:r w:rsidR="004C1A9C" w:rsidRPr="004C1A9C">
        <w:rPr>
          <w:rFonts w:ascii="Times New Roman" w:hAnsi="Times New Roman" w:cs="Times New Roman"/>
          <w:sz w:val="20"/>
          <w:szCs w:val="20"/>
        </w:rPr>
        <w:t xml:space="preserve">U.S. state </w:t>
      </w:r>
      <w:r w:rsidRPr="004C1A9C">
        <w:rPr>
          <w:rFonts w:ascii="Times New Roman" w:hAnsi="Times New Roman" w:cs="Times New Roman"/>
          <w:sz w:val="20"/>
          <w:szCs w:val="20"/>
        </w:rPr>
        <w:t xml:space="preserve">legislature may also delegate the power to private entities like </w:t>
      </w:r>
      <w:r w:rsidRPr="004C1A9C">
        <w:rPr>
          <w:rFonts w:ascii="Times New Roman" w:hAnsi="Times New Roman" w:cs="Times New Roman"/>
          <w:b/>
          <w:bCs/>
          <w:sz w:val="20"/>
          <w:szCs w:val="20"/>
        </w:rPr>
        <w:t>public utilities</w:t>
      </w:r>
      <w:r w:rsidRPr="004C1A9C">
        <w:rPr>
          <w:rFonts w:ascii="Times New Roman" w:hAnsi="Times New Roman" w:cs="Times New Roman"/>
          <w:sz w:val="20"/>
          <w:szCs w:val="20"/>
        </w:rPr>
        <w:t xml:space="preserve"> or </w:t>
      </w:r>
      <w:r w:rsidRPr="004C1A9C">
        <w:rPr>
          <w:rFonts w:ascii="Times New Roman" w:hAnsi="Times New Roman" w:cs="Times New Roman"/>
          <w:b/>
          <w:bCs/>
          <w:sz w:val="20"/>
          <w:szCs w:val="20"/>
        </w:rPr>
        <w:t>railroads</w:t>
      </w:r>
      <w:r w:rsidRPr="004C1A9C">
        <w:rPr>
          <w:rFonts w:ascii="Times New Roman" w:hAnsi="Times New Roman" w:cs="Times New Roman"/>
          <w:sz w:val="20"/>
          <w:szCs w:val="20"/>
        </w:rPr>
        <w:t>, and even to “individuals”.</w:t>
      </w:r>
      <w:r w:rsidRPr="004C1A9C">
        <w:rPr>
          <w:rFonts w:ascii="Times New Roman" w:hAnsi="Times New Roman" w:cs="Times New Roman"/>
          <w:b/>
          <w:bCs/>
          <w:sz w:val="20"/>
          <w:szCs w:val="20"/>
          <w:u w:val="single"/>
        </w:rPr>
        <w:t xml:space="preserve"> </w:t>
      </w:r>
    </w:p>
    <w:p w14:paraId="1F468780" w14:textId="191843D2" w:rsidR="004C1A9C" w:rsidRDefault="00935BF2" w:rsidP="00935BF2">
      <w:pPr>
        <w:pStyle w:val="ListParagraph"/>
        <w:spacing w:line="276" w:lineRule="auto"/>
        <w:jc w:val="both"/>
        <w:rPr>
          <w:rFonts w:ascii="Times New Roman" w:hAnsi="Times New Roman" w:cs="Times New Roman"/>
          <w:sz w:val="20"/>
          <w:szCs w:val="20"/>
        </w:rPr>
      </w:pPr>
      <w:r w:rsidRPr="00DB2CA0">
        <w:rPr>
          <w:rFonts w:ascii="Times New Roman" w:hAnsi="Times New Roman" w:cs="Times New Roman"/>
          <w:sz w:val="20"/>
          <w:szCs w:val="20"/>
        </w:rPr>
        <w:t>In the United States, a "</w:t>
      </w:r>
      <w:r w:rsidRPr="00DB2CA0">
        <w:rPr>
          <w:rFonts w:ascii="Times New Roman" w:hAnsi="Times New Roman" w:cs="Times New Roman"/>
          <w:b/>
          <w:sz w:val="20"/>
          <w:szCs w:val="20"/>
        </w:rPr>
        <w:t>person</w:t>
      </w:r>
      <w:r w:rsidRPr="00DB2CA0">
        <w:rPr>
          <w:rFonts w:ascii="Times New Roman" w:hAnsi="Times New Roman" w:cs="Times New Roman"/>
          <w:sz w:val="20"/>
          <w:szCs w:val="20"/>
        </w:rPr>
        <w:t>" is defined as a "foreign state" and owner of a vessel, and an “</w:t>
      </w:r>
      <w:r w:rsidRPr="00DB2CA0">
        <w:rPr>
          <w:rFonts w:ascii="Times New Roman" w:hAnsi="Times New Roman" w:cs="Times New Roman"/>
          <w:b/>
          <w:sz w:val="20"/>
          <w:szCs w:val="20"/>
        </w:rPr>
        <w:t>individual</w:t>
      </w:r>
      <w:r w:rsidRPr="00DB2CA0">
        <w:rPr>
          <w:rFonts w:ascii="Times New Roman" w:hAnsi="Times New Roman" w:cs="Times New Roman"/>
          <w:sz w:val="20"/>
          <w:szCs w:val="20"/>
        </w:rPr>
        <w:t>” is defined as an artificial “federally</w:t>
      </w:r>
      <w:r w:rsidR="004C1A9C">
        <w:rPr>
          <w:rFonts w:ascii="Times New Roman" w:hAnsi="Times New Roman" w:cs="Times New Roman"/>
          <w:sz w:val="20"/>
          <w:szCs w:val="20"/>
        </w:rPr>
        <w:t xml:space="preserve"> </w:t>
      </w:r>
      <w:r w:rsidRPr="00DB2CA0">
        <w:rPr>
          <w:rFonts w:ascii="Times New Roman" w:hAnsi="Times New Roman" w:cs="Times New Roman"/>
          <w:sz w:val="20"/>
          <w:szCs w:val="20"/>
        </w:rPr>
        <w:t xml:space="preserve">chartered entity”, meaning a federal but not </w:t>
      </w:r>
      <w:r>
        <w:rPr>
          <w:rFonts w:ascii="Times New Roman" w:hAnsi="Times New Roman" w:cs="Times New Roman"/>
          <w:sz w:val="20"/>
          <w:szCs w:val="20"/>
        </w:rPr>
        <w:t xml:space="preserve">U.S. </w:t>
      </w:r>
      <w:r w:rsidR="004C1A9C">
        <w:rPr>
          <w:rFonts w:ascii="Times New Roman" w:hAnsi="Times New Roman" w:cs="Times New Roman"/>
          <w:sz w:val="20"/>
          <w:szCs w:val="20"/>
        </w:rPr>
        <w:t>S</w:t>
      </w:r>
      <w:r w:rsidRPr="00DB2CA0">
        <w:rPr>
          <w:rFonts w:ascii="Times New Roman" w:hAnsi="Times New Roman" w:cs="Times New Roman"/>
          <w:sz w:val="20"/>
          <w:szCs w:val="20"/>
        </w:rPr>
        <w:t xml:space="preserve">tate </w:t>
      </w:r>
      <w:r>
        <w:rPr>
          <w:rFonts w:ascii="Times New Roman" w:hAnsi="Times New Roman" w:cs="Times New Roman"/>
          <w:sz w:val="20"/>
          <w:szCs w:val="20"/>
        </w:rPr>
        <w:t xml:space="preserve">(commonwealth) </w:t>
      </w:r>
      <w:r w:rsidRPr="00DB2CA0">
        <w:rPr>
          <w:rFonts w:ascii="Times New Roman" w:hAnsi="Times New Roman" w:cs="Times New Roman"/>
          <w:sz w:val="20"/>
          <w:szCs w:val="20"/>
        </w:rPr>
        <w:t xml:space="preserve">chartered corporation or partnership or trust.  Such an entity is a citizen of the United States because it has a presence, via its census-designated paper-address or resides on one of the </w:t>
      </w:r>
      <w:r w:rsidRPr="00DB2CA0">
        <w:rPr>
          <w:rFonts w:ascii="Times New Roman" w:hAnsi="Times New Roman" w:cs="Times New Roman"/>
          <w:bCs/>
          <w:sz w:val="20"/>
          <w:szCs w:val="20"/>
        </w:rPr>
        <w:t>326 Indian Reservations that is allegedly</w:t>
      </w:r>
      <w:r w:rsidRPr="00DB2CA0">
        <w:rPr>
          <w:rFonts w:ascii="Times New Roman" w:hAnsi="Times New Roman" w:cs="Times New Roman"/>
          <w:b/>
          <w:sz w:val="20"/>
          <w:szCs w:val="20"/>
        </w:rPr>
        <w:t xml:space="preserve"> </w:t>
      </w:r>
      <w:r w:rsidRPr="00DB2CA0">
        <w:rPr>
          <w:rFonts w:ascii="Times New Roman" w:hAnsi="Times New Roman" w:cs="Times New Roman"/>
          <w:sz w:val="20"/>
          <w:szCs w:val="20"/>
        </w:rPr>
        <w:t>located in the limited territory of the District of Columbia or DC, to be subject to the exclusive legislative or territorial jurisdiction of the United States under Article 1, Section 8, Clause 17 of the U.S. Constitution.</w:t>
      </w:r>
      <w:r w:rsidR="004C1A9C">
        <w:rPr>
          <w:rFonts w:ascii="Times New Roman" w:hAnsi="Times New Roman" w:cs="Times New Roman"/>
          <w:sz w:val="20"/>
          <w:szCs w:val="20"/>
        </w:rPr>
        <w:t xml:space="preserve"> </w:t>
      </w:r>
    </w:p>
    <w:p w14:paraId="0F11CCA0" w14:textId="77777777" w:rsidR="004C1A9C" w:rsidRPr="004C1A9C" w:rsidRDefault="004C1A9C" w:rsidP="00935BF2">
      <w:pPr>
        <w:pStyle w:val="ListParagraph"/>
        <w:spacing w:line="276" w:lineRule="auto"/>
        <w:jc w:val="both"/>
        <w:rPr>
          <w:rFonts w:ascii="Times New Roman" w:hAnsi="Times New Roman" w:cs="Times New Roman"/>
          <w:sz w:val="10"/>
          <w:szCs w:val="10"/>
        </w:rPr>
      </w:pPr>
    </w:p>
    <w:p w14:paraId="243D8A03" w14:textId="6FC90D58" w:rsidR="00935BF2" w:rsidRDefault="004C1A9C" w:rsidP="00935BF2">
      <w:pPr>
        <w:pStyle w:val="ListParagraph"/>
        <w:spacing w:line="276" w:lineRule="auto"/>
        <w:jc w:val="both"/>
        <w:rPr>
          <w:rFonts w:ascii="Times New Roman" w:hAnsi="Times New Roman" w:cs="Times New Roman"/>
          <w:sz w:val="20"/>
          <w:szCs w:val="20"/>
        </w:rPr>
      </w:pPr>
      <w:r w:rsidRPr="004C1A9C">
        <w:rPr>
          <w:rFonts w:ascii="Times New Roman" w:hAnsi="Times New Roman" w:cs="Times New Roman"/>
          <w:b/>
          <w:bCs/>
          <w:sz w:val="20"/>
          <w:szCs w:val="20"/>
        </w:rPr>
        <w:lastRenderedPageBreak/>
        <w:t>Washington, D.C.</w:t>
      </w:r>
      <w:r w:rsidRPr="004C1A9C">
        <w:rPr>
          <w:rFonts w:ascii="Times New Roman" w:hAnsi="Times New Roman" w:cs="Times New Roman"/>
          <w:sz w:val="20"/>
          <w:szCs w:val="20"/>
        </w:rPr>
        <w:t xml:space="preserve">, officially the District of Columbia and commonly known as Washington, is the federal capital city of the United States, and its </w:t>
      </w:r>
      <w:r w:rsidRPr="004C1A9C">
        <w:rPr>
          <w:rFonts w:ascii="Times New Roman" w:hAnsi="Times New Roman" w:cs="Times New Roman"/>
          <w:b/>
          <w:bCs/>
          <w:sz w:val="20"/>
          <w:szCs w:val="20"/>
          <w:u w:val="single"/>
        </w:rPr>
        <w:t>only</w:t>
      </w:r>
      <w:r w:rsidRPr="004C1A9C">
        <w:rPr>
          <w:rFonts w:ascii="Times New Roman" w:hAnsi="Times New Roman" w:cs="Times New Roman"/>
          <w:b/>
          <w:bCs/>
          <w:sz w:val="20"/>
          <w:szCs w:val="20"/>
        </w:rPr>
        <w:t xml:space="preserve"> </w:t>
      </w:r>
      <w:r w:rsidRPr="004C1A9C">
        <w:rPr>
          <w:rFonts w:ascii="Times New Roman" w:hAnsi="Times New Roman" w:cs="Times New Roman"/>
          <w:sz w:val="20"/>
          <w:szCs w:val="20"/>
        </w:rPr>
        <w:t>federal district.</w:t>
      </w:r>
      <w:r w:rsidRPr="00DB2CA0">
        <w:rPr>
          <w:rFonts w:ascii="Times New Roman" w:hAnsi="Times New Roman" w:cs="Times New Roman"/>
          <w:sz w:val="20"/>
          <w:szCs w:val="20"/>
        </w:rPr>
        <w:t xml:space="preserve"> </w:t>
      </w:r>
    </w:p>
    <w:p w14:paraId="44695527" w14:textId="64244A50" w:rsidR="005C5538" w:rsidRDefault="0083427C" w:rsidP="0083427C">
      <w:pPr>
        <w:spacing w:line="276" w:lineRule="auto"/>
        <w:jc w:val="both"/>
        <w:rPr>
          <w:rFonts w:ascii="Times New Roman" w:hAnsi="Times New Roman" w:cs="Times New Roman"/>
          <w:sz w:val="20"/>
          <w:szCs w:val="20"/>
        </w:rPr>
      </w:pPr>
      <w:r w:rsidRPr="0083427C">
        <w:rPr>
          <w:rFonts w:ascii="Times New Roman" w:hAnsi="Times New Roman" w:cs="Times New Roman"/>
          <w:sz w:val="20"/>
          <w:szCs w:val="20"/>
        </w:rPr>
        <w:t>Washington, D.C., anchors the southern end of the Northeast megalopolis</w:t>
      </w:r>
      <w:r w:rsidR="009570A3">
        <w:rPr>
          <w:rFonts w:ascii="Times New Roman" w:hAnsi="Times New Roman" w:cs="Times New Roman"/>
          <w:sz w:val="20"/>
          <w:szCs w:val="20"/>
        </w:rPr>
        <w:t xml:space="preserve"> and New York City anchors the northern end</w:t>
      </w:r>
      <w:r w:rsidRPr="0083427C">
        <w:rPr>
          <w:rFonts w:ascii="Times New Roman" w:hAnsi="Times New Roman" w:cs="Times New Roman"/>
          <w:sz w:val="20"/>
          <w:szCs w:val="20"/>
        </w:rPr>
        <w:t xml:space="preserve">. As the seat of the U.S. federal government, the city is an important world </w:t>
      </w:r>
      <w:r w:rsidRPr="0083427C">
        <w:rPr>
          <w:rFonts w:ascii="Times New Roman" w:hAnsi="Times New Roman" w:cs="Times New Roman"/>
          <w:b/>
          <w:bCs/>
          <w:sz w:val="20"/>
          <w:szCs w:val="20"/>
        </w:rPr>
        <w:t>political</w:t>
      </w:r>
      <w:r w:rsidRPr="0083427C">
        <w:rPr>
          <w:rFonts w:ascii="Times New Roman" w:hAnsi="Times New Roman" w:cs="Times New Roman"/>
          <w:sz w:val="20"/>
          <w:szCs w:val="20"/>
        </w:rPr>
        <w:t xml:space="preserve"> capital. The city hosts buildings that house federal government headquarters, including the White House, U.S. Capitol, Supreme Court Building, and multiple federal departments and agencies. The city is home to many national </w:t>
      </w:r>
      <w:r w:rsidRPr="00ED7929">
        <w:rPr>
          <w:rFonts w:ascii="Times New Roman" w:hAnsi="Times New Roman" w:cs="Times New Roman"/>
          <w:sz w:val="20"/>
          <w:szCs w:val="20"/>
        </w:rPr>
        <w:t>monuments and museums</w:t>
      </w:r>
      <w:r w:rsidRPr="0083427C">
        <w:rPr>
          <w:rFonts w:ascii="Times New Roman" w:hAnsi="Times New Roman" w:cs="Times New Roman"/>
          <w:sz w:val="20"/>
          <w:szCs w:val="20"/>
        </w:rPr>
        <w:t xml:space="preserve">, located most prominently on or around the National Mall, including the </w:t>
      </w:r>
      <w:r w:rsidRPr="00ED7929">
        <w:rPr>
          <w:rFonts w:ascii="Times New Roman" w:hAnsi="Times New Roman" w:cs="Times New Roman"/>
          <w:sz w:val="20"/>
          <w:szCs w:val="20"/>
        </w:rPr>
        <w:t>Jefferson Memorial</w:t>
      </w:r>
      <w:r w:rsidRPr="0083427C">
        <w:rPr>
          <w:rFonts w:ascii="Times New Roman" w:hAnsi="Times New Roman" w:cs="Times New Roman"/>
          <w:sz w:val="20"/>
          <w:szCs w:val="20"/>
        </w:rPr>
        <w:t xml:space="preserve">, </w:t>
      </w:r>
      <w:r w:rsidRPr="00ED7929">
        <w:rPr>
          <w:rFonts w:ascii="Times New Roman" w:hAnsi="Times New Roman" w:cs="Times New Roman"/>
          <w:sz w:val="20"/>
          <w:szCs w:val="20"/>
        </w:rPr>
        <w:t>Lincoln Memorial</w:t>
      </w:r>
      <w:r w:rsidRPr="0083427C">
        <w:rPr>
          <w:rFonts w:ascii="Times New Roman" w:hAnsi="Times New Roman" w:cs="Times New Roman"/>
          <w:sz w:val="20"/>
          <w:szCs w:val="20"/>
        </w:rPr>
        <w:t xml:space="preserve">, and </w:t>
      </w:r>
      <w:r w:rsidRPr="00ED7929">
        <w:rPr>
          <w:rFonts w:ascii="Times New Roman" w:hAnsi="Times New Roman" w:cs="Times New Roman"/>
          <w:sz w:val="20"/>
          <w:szCs w:val="20"/>
        </w:rPr>
        <w:t>Washington Monument</w:t>
      </w:r>
      <w:r w:rsidRPr="0083427C">
        <w:rPr>
          <w:rFonts w:ascii="Times New Roman" w:hAnsi="Times New Roman" w:cs="Times New Roman"/>
          <w:sz w:val="20"/>
          <w:szCs w:val="20"/>
        </w:rPr>
        <w:t xml:space="preserve">. It hosts </w:t>
      </w:r>
      <w:r w:rsidRPr="00ED7929">
        <w:rPr>
          <w:rFonts w:ascii="Times New Roman" w:hAnsi="Times New Roman" w:cs="Times New Roman"/>
          <w:sz w:val="20"/>
          <w:szCs w:val="20"/>
        </w:rPr>
        <w:t>177 foreign embassies</w:t>
      </w:r>
      <w:r w:rsidRPr="0083427C">
        <w:rPr>
          <w:rFonts w:ascii="Times New Roman" w:hAnsi="Times New Roman" w:cs="Times New Roman"/>
          <w:sz w:val="20"/>
          <w:szCs w:val="20"/>
        </w:rPr>
        <w:t xml:space="preserve"> and the global headquarters of the </w:t>
      </w:r>
      <w:r w:rsidRPr="00ED7929">
        <w:rPr>
          <w:rFonts w:ascii="Times New Roman" w:hAnsi="Times New Roman" w:cs="Times New Roman"/>
          <w:sz w:val="20"/>
          <w:szCs w:val="20"/>
        </w:rPr>
        <w:t>World Bank</w:t>
      </w:r>
      <w:r w:rsidRPr="0083427C">
        <w:rPr>
          <w:rFonts w:ascii="Times New Roman" w:hAnsi="Times New Roman" w:cs="Times New Roman"/>
          <w:sz w:val="20"/>
          <w:szCs w:val="20"/>
        </w:rPr>
        <w:t xml:space="preserve">, </w:t>
      </w:r>
      <w:r w:rsidRPr="00ED7929">
        <w:rPr>
          <w:rFonts w:ascii="Times New Roman" w:hAnsi="Times New Roman" w:cs="Times New Roman"/>
          <w:sz w:val="20"/>
          <w:szCs w:val="20"/>
        </w:rPr>
        <w:t>International Monetary Fund</w:t>
      </w:r>
      <w:r w:rsidRPr="0083427C">
        <w:rPr>
          <w:rFonts w:ascii="Times New Roman" w:hAnsi="Times New Roman" w:cs="Times New Roman"/>
          <w:sz w:val="20"/>
          <w:szCs w:val="20"/>
        </w:rPr>
        <w:t xml:space="preserve">, </w:t>
      </w:r>
      <w:r w:rsidRPr="00ED7929">
        <w:rPr>
          <w:rFonts w:ascii="Times New Roman" w:hAnsi="Times New Roman" w:cs="Times New Roman"/>
          <w:sz w:val="20"/>
          <w:szCs w:val="20"/>
        </w:rPr>
        <w:t>Organization of American States</w:t>
      </w:r>
      <w:r w:rsidRPr="0083427C">
        <w:rPr>
          <w:rFonts w:ascii="Times New Roman" w:hAnsi="Times New Roman" w:cs="Times New Roman"/>
          <w:sz w:val="20"/>
          <w:szCs w:val="20"/>
        </w:rPr>
        <w:t xml:space="preserve">, and other international organizations. </w:t>
      </w:r>
      <w:r w:rsidR="00ED7929">
        <w:rPr>
          <w:rFonts w:ascii="Times New Roman" w:hAnsi="Times New Roman" w:cs="Times New Roman"/>
          <w:sz w:val="20"/>
          <w:szCs w:val="20"/>
        </w:rPr>
        <w:t>It is also h</w:t>
      </w:r>
      <w:r w:rsidRPr="0083427C">
        <w:rPr>
          <w:rFonts w:ascii="Times New Roman" w:hAnsi="Times New Roman" w:cs="Times New Roman"/>
          <w:sz w:val="20"/>
          <w:szCs w:val="20"/>
        </w:rPr>
        <w:t>ome to many of the nation's largest industry associations,</w:t>
      </w:r>
      <w:r w:rsidR="005C5538">
        <w:rPr>
          <w:rFonts w:ascii="Times New Roman" w:hAnsi="Times New Roman" w:cs="Times New Roman"/>
          <w:sz w:val="20"/>
          <w:szCs w:val="20"/>
        </w:rPr>
        <w:t xml:space="preserve"> such as </w:t>
      </w:r>
      <w:r w:rsidR="005C5538" w:rsidRPr="005C5538">
        <w:rPr>
          <w:rFonts w:ascii="Times New Roman" w:hAnsi="Times New Roman" w:cs="Times New Roman"/>
          <w:sz w:val="20"/>
          <w:szCs w:val="20"/>
        </w:rPr>
        <w:t>The Regional Plan Association</w:t>
      </w:r>
      <w:r w:rsidR="005C5538">
        <w:rPr>
          <w:rFonts w:ascii="Times New Roman" w:hAnsi="Times New Roman" w:cs="Times New Roman"/>
          <w:sz w:val="20"/>
          <w:szCs w:val="20"/>
        </w:rPr>
        <w:t>,</w:t>
      </w:r>
      <w:r w:rsidRPr="0083427C">
        <w:rPr>
          <w:rFonts w:ascii="Times New Roman" w:hAnsi="Times New Roman" w:cs="Times New Roman"/>
          <w:sz w:val="20"/>
          <w:szCs w:val="20"/>
        </w:rPr>
        <w:t xml:space="preserve"> non-</w:t>
      </w:r>
      <w:r w:rsidRPr="00ED7929">
        <w:rPr>
          <w:rFonts w:ascii="Times New Roman" w:hAnsi="Times New Roman" w:cs="Times New Roman"/>
          <w:b/>
          <w:bCs/>
          <w:sz w:val="20"/>
          <w:szCs w:val="20"/>
        </w:rPr>
        <w:t>profit</w:t>
      </w:r>
      <w:r w:rsidRPr="0083427C">
        <w:rPr>
          <w:rFonts w:ascii="Times New Roman" w:hAnsi="Times New Roman" w:cs="Times New Roman"/>
          <w:sz w:val="20"/>
          <w:szCs w:val="20"/>
        </w:rPr>
        <w:t xml:space="preserve"> organizations,</w:t>
      </w:r>
      <w:r w:rsidR="005C5538">
        <w:rPr>
          <w:rFonts w:ascii="Times New Roman" w:hAnsi="Times New Roman" w:cs="Times New Roman"/>
          <w:sz w:val="20"/>
          <w:szCs w:val="20"/>
        </w:rPr>
        <w:t xml:space="preserve"> such as</w:t>
      </w:r>
      <w:r w:rsidR="005C5538" w:rsidRPr="00990F97">
        <w:rPr>
          <w:rFonts w:ascii="Times New Roman" w:hAnsi="Times New Roman" w:cs="Times New Roman"/>
          <w:color w:val="000000" w:themeColor="text1"/>
          <w:sz w:val="20"/>
          <w:szCs w:val="20"/>
        </w:rPr>
        <w:t xml:space="preserve"> Federal Home Loan Bank</w:t>
      </w:r>
      <w:r w:rsidR="005C5538">
        <w:rPr>
          <w:rFonts w:ascii="Times New Roman" w:hAnsi="Times New Roman" w:cs="Times New Roman"/>
          <w:color w:val="000000" w:themeColor="text1"/>
          <w:sz w:val="20"/>
          <w:szCs w:val="20"/>
        </w:rPr>
        <w:t xml:space="preserve">s, </w:t>
      </w:r>
      <w:r w:rsidRPr="0083427C">
        <w:rPr>
          <w:rFonts w:ascii="Times New Roman" w:hAnsi="Times New Roman" w:cs="Times New Roman"/>
          <w:sz w:val="20"/>
          <w:szCs w:val="20"/>
        </w:rPr>
        <w:t xml:space="preserve">and </w:t>
      </w:r>
      <w:r w:rsidRPr="00ED7929">
        <w:rPr>
          <w:rFonts w:ascii="Times New Roman" w:hAnsi="Times New Roman" w:cs="Times New Roman"/>
          <w:sz w:val="20"/>
          <w:szCs w:val="20"/>
        </w:rPr>
        <w:t>think tanks</w:t>
      </w:r>
      <w:r w:rsidR="00ED7929">
        <w:rPr>
          <w:rFonts w:ascii="Times New Roman" w:hAnsi="Times New Roman" w:cs="Times New Roman"/>
          <w:sz w:val="20"/>
          <w:szCs w:val="20"/>
        </w:rPr>
        <w:t>. T</w:t>
      </w:r>
      <w:r w:rsidRPr="0083427C">
        <w:rPr>
          <w:rFonts w:ascii="Times New Roman" w:hAnsi="Times New Roman" w:cs="Times New Roman"/>
          <w:sz w:val="20"/>
          <w:szCs w:val="20"/>
        </w:rPr>
        <w:t xml:space="preserve">he city is known as a </w:t>
      </w:r>
      <w:r w:rsidRPr="00ED7929">
        <w:rPr>
          <w:rFonts w:ascii="Times New Roman" w:hAnsi="Times New Roman" w:cs="Times New Roman"/>
          <w:sz w:val="20"/>
          <w:szCs w:val="20"/>
        </w:rPr>
        <w:t>lobbying</w:t>
      </w:r>
      <w:r w:rsidRPr="0083427C">
        <w:rPr>
          <w:rFonts w:ascii="Times New Roman" w:hAnsi="Times New Roman" w:cs="Times New Roman"/>
          <w:sz w:val="20"/>
          <w:szCs w:val="20"/>
        </w:rPr>
        <w:t xml:space="preserve"> hub, which is centered on and around </w:t>
      </w:r>
      <w:r w:rsidRPr="00ED7929">
        <w:rPr>
          <w:rFonts w:ascii="Times New Roman" w:hAnsi="Times New Roman" w:cs="Times New Roman"/>
          <w:sz w:val="20"/>
          <w:szCs w:val="20"/>
        </w:rPr>
        <w:t>K Street</w:t>
      </w:r>
      <w:r w:rsidRPr="0083427C">
        <w:rPr>
          <w:rFonts w:ascii="Times New Roman" w:hAnsi="Times New Roman" w:cs="Times New Roman"/>
          <w:sz w:val="20"/>
          <w:szCs w:val="20"/>
        </w:rPr>
        <w:t>.</w:t>
      </w:r>
      <w:r>
        <w:rPr>
          <w:rFonts w:ascii="Times New Roman" w:hAnsi="Times New Roman" w:cs="Times New Roman"/>
          <w:sz w:val="20"/>
          <w:szCs w:val="20"/>
        </w:rPr>
        <w:t xml:space="preserve">   </w:t>
      </w:r>
    </w:p>
    <w:p w14:paraId="7B4776D1" w14:textId="45B45519" w:rsidR="00DE2252" w:rsidRPr="00504F19" w:rsidRDefault="005C5538" w:rsidP="00504F19">
      <w:pPr>
        <w:spacing w:line="276" w:lineRule="auto"/>
        <w:jc w:val="both"/>
        <w:rPr>
          <w:rFonts w:ascii="Times New Roman" w:hAnsi="Times New Roman" w:cs="Times New Roman"/>
          <w:sz w:val="20"/>
          <w:szCs w:val="20"/>
        </w:rPr>
      </w:pPr>
      <w:r w:rsidRPr="00504F19">
        <w:rPr>
          <w:rFonts w:ascii="Times New Roman" w:hAnsi="Times New Roman" w:cs="Times New Roman"/>
          <w:sz w:val="20"/>
          <w:szCs w:val="20"/>
        </w:rPr>
        <w:t xml:space="preserve">The Regional Plan Association is an independent, not-for-profit regional planning organization, founded in 1922, that focuses on recommendations to improve the quality of life and economic competitiveness of a 31-county New York–New Jersey–Connecticut region in the New York metropolitan area. </w:t>
      </w:r>
      <w:proofErr w:type="gramStart"/>
      <w:r w:rsidRPr="00504F19">
        <w:rPr>
          <w:rFonts w:ascii="Times New Roman" w:hAnsi="Times New Roman" w:cs="Times New Roman"/>
          <w:sz w:val="20"/>
          <w:szCs w:val="20"/>
        </w:rPr>
        <w:t>Headquartered</w:t>
      </w:r>
      <w:proofErr w:type="gramEnd"/>
      <w:r w:rsidRPr="00504F19">
        <w:rPr>
          <w:rFonts w:ascii="Times New Roman" w:hAnsi="Times New Roman" w:cs="Times New Roman"/>
          <w:sz w:val="20"/>
          <w:szCs w:val="20"/>
        </w:rPr>
        <w:t xml:space="preserve"> in New York City, it has offices in Princeton, New Jersey, and Stamford, Connecticut. RPA Purpose is stated as </w:t>
      </w:r>
      <w:proofErr w:type="gramStart"/>
      <w:r w:rsidRPr="00504F19">
        <w:rPr>
          <w:rFonts w:ascii="Times New Roman" w:hAnsi="Times New Roman" w:cs="Times New Roman"/>
          <w:sz w:val="20"/>
          <w:szCs w:val="20"/>
        </w:rPr>
        <w:t>Regional</w:t>
      </w:r>
      <w:proofErr w:type="gramEnd"/>
      <w:r w:rsidRPr="00504F19">
        <w:rPr>
          <w:rFonts w:ascii="Times New Roman" w:hAnsi="Times New Roman" w:cs="Times New Roman"/>
          <w:sz w:val="20"/>
          <w:szCs w:val="20"/>
        </w:rPr>
        <w:t xml:space="preserve"> planning; Headquarters </w:t>
      </w:r>
      <w:proofErr w:type="gramStart"/>
      <w:r w:rsidRPr="00504F19">
        <w:rPr>
          <w:rFonts w:ascii="Times New Roman" w:hAnsi="Times New Roman" w:cs="Times New Roman"/>
          <w:sz w:val="20"/>
          <w:szCs w:val="20"/>
        </w:rPr>
        <w:t>is located in</w:t>
      </w:r>
      <w:proofErr w:type="gramEnd"/>
      <w:r w:rsidRPr="00504F19">
        <w:rPr>
          <w:rFonts w:ascii="Times New Roman" w:hAnsi="Times New Roman" w:cs="Times New Roman"/>
          <w:sz w:val="20"/>
          <w:szCs w:val="20"/>
        </w:rPr>
        <w:t xml:space="preserve"> Manhattan, New York City, in the U.S. state of New York, and the Region served is the New York metropolitan area USA.</w:t>
      </w:r>
      <w:r w:rsidR="00DE2252" w:rsidRPr="00504F19">
        <w:rPr>
          <w:rFonts w:ascii="Times New Roman" w:hAnsi="Times New Roman" w:cs="Times New Roman"/>
          <w:sz w:val="20"/>
          <w:szCs w:val="20"/>
        </w:rPr>
        <w:t xml:space="preserve"> </w:t>
      </w:r>
    </w:p>
    <w:p w14:paraId="243D4F98" w14:textId="785715B7" w:rsidR="005C5538" w:rsidRPr="00D81F63" w:rsidRDefault="00504F19" w:rsidP="00504F19">
      <w:pPr>
        <w:pStyle w:val="ListParagraph"/>
        <w:spacing w:line="276" w:lineRule="auto"/>
        <w:jc w:val="both"/>
        <w:rPr>
          <w:rFonts w:ascii="Times New Roman" w:hAnsi="Times New Roman"/>
          <w:sz w:val="8"/>
          <w:szCs w:val="8"/>
        </w:rPr>
      </w:pPr>
      <w:r w:rsidRPr="00504F19">
        <w:rPr>
          <w:rFonts w:ascii="Times New Roman" w:hAnsi="Times New Roman" w:cs="Times New Roman"/>
          <w:sz w:val="20"/>
          <w:szCs w:val="20"/>
        </w:rPr>
        <w:t xml:space="preserve">FYI: </w:t>
      </w:r>
      <w:r w:rsidRPr="00504F19">
        <w:rPr>
          <w:rFonts w:ascii="Times New Roman" w:hAnsi="Times New Roman" w:cs="Times New Roman"/>
          <w:i/>
          <w:iCs/>
          <w:sz w:val="20"/>
          <w:szCs w:val="20"/>
        </w:rPr>
        <w:t>N</w:t>
      </w:r>
      <w:r w:rsidR="005C5538" w:rsidRPr="00504F19">
        <w:rPr>
          <w:rFonts w:ascii="Times New Roman" w:hAnsi="Times New Roman" w:cs="Times New Roman"/>
          <w:i/>
          <w:iCs/>
          <w:color w:val="000000" w:themeColor="text1"/>
          <w:sz w:val="20"/>
          <w:szCs w:val="20"/>
        </w:rPr>
        <w:t>ational banking association</w:t>
      </w:r>
      <w:r w:rsidRPr="00504F19">
        <w:rPr>
          <w:rFonts w:ascii="Times New Roman" w:hAnsi="Times New Roman" w:cs="Times New Roman"/>
          <w:i/>
          <w:iCs/>
          <w:color w:val="000000" w:themeColor="text1"/>
          <w:sz w:val="20"/>
          <w:szCs w:val="20"/>
        </w:rPr>
        <w:t>s</w:t>
      </w:r>
      <w:r w:rsidR="005C5538" w:rsidRPr="00504F19">
        <w:rPr>
          <w:rFonts w:ascii="Times New Roman" w:hAnsi="Times New Roman" w:cs="Times New Roman"/>
          <w:i/>
          <w:iCs/>
          <w:color w:val="000000" w:themeColor="text1"/>
          <w:sz w:val="20"/>
          <w:szCs w:val="20"/>
        </w:rPr>
        <w:t xml:space="preserve"> may be chartered anywhere, but operation as a Federal Home Loan Bank, etc., is territorial and these Federally chartered entities may extend credit only in the geographical United States subject to Congress plenary or municipal authority in territory of the United States.</w:t>
      </w:r>
      <w:r w:rsidR="005C5538" w:rsidRPr="00504F19">
        <w:rPr>
          <w:rFonts w:ascii="Times New Roman" w:hAnsi="Times New Roman" w:cs="Times New Roman"/>
          <w:color w:val="000000" w:themeColor="text1"/>
          <w:sz w:val="20"/>
          <w:szCs w:val="20"/>
        </w:rPr>
        <w:t xml:space="preserve"> </w:t>
      </w:r>
      <w:r w:rsidRPr="00504F19">
        <w:rPr>
          <w:rFonts w:ascii="Times New Roman" w:hAnsi="Times New Roman" w:cs="Times New Roman"/>
          <w:b/>
          <w:bCs/>
          <w:sz w:val="20"/>
          <w:szCs w:val="20"/>
          <w:u w:val="single"/>
        </w:rPr>
        <w:t>N</w:t>
      </w:r>
      <w:r w:rsidRPr="00504F19">
        <w:rPr>
          <w:rFonts w:ascii="Times New Roman" w:hAnsi="Times New Roman" w:cs="Times New Roman"/>
          <w:b/>
          <w:bCs/>
          <w:color w:val="000000" w:themeColor="text1"/>
          <w:sz w:val="20"/>
          <w:szCs w:val="20"/>
          <w:u w:val="single"/>
        </w:rPr>
        <w:t>ational banking associations</w:t>
      </w:r>
      <w:r w:rsidRPr="00504F19">
        <w:rPr>
          <w:rFonts w:ascii="Times New Roman" w:hAnsi="Times New Roman" w:cs="Times New Roman"/>
          <w:i/>
          <w:iCs/>
          <w:color w:val="000000" w:themeColor="text1"/>
          <w:sz w:val="20"/>
          <w:szCs w:val="20"/>
        </w:rPr>
        <w:t xml:space="preserve"> </w:t>
      </w:r>
      <w:r w:rsidR="005C5538" w:rsidRPr="00504F19">
        <w:rPr>
          <w:rFonts w:ascii="Times New Roman" w:hAnsi="Times New Roman" w:cs="Times New Roman"/>
          <w:b/>
          <w:bCs/>
          <w:color w:val="000000" w:themeColor="text1"/>
          <w:sz w:val="20"/>
          <w:szCs w:val="20"/>
          <w:u w:val="single"/>
        </w:rPr>
        <w:t xml:space="preserve">do not have regulatory authority to file liens in the several </w:t>
      </w:r>
      <w:r w:rsidRPr="00504F19">
        <w:rPr>
          <w:rFonts w:ascii="Times New Roman" w:hAnsi="Times New Roman" w:cs="Times New Roman"/>
          <w:b/>
          <w:bCs/>
          <w:color w:val="000000" w:themeColor="text1"/>
          <w:sz w:val="20"/>
          <w:szCs w:val="20"/>
          <w:u w:val="single"/>
        </w:rPr>
        <w:t>U.S. S</w:t>
      </w:r>
      <w:r w:rsidR="005C5538" w:rsidRPr="00504F19">
        <w:rPr>
          <w:rFonts w:ascii="Times New Roman" w:hAnsi="Times New Roman" w:cs="Times New Roman"/>
          <w:b/>
          <w:bCs/>
          <w:color w:val="000000" w:themeColor="text1"/>
          <w:sz w:val="20"/>
          <w:szCs w:val="20"/>
          <w:u w:val="single"/>
        </w:rPr>
        <w:t>tates</w:t>
      </w:r>
      <w:r w:rsidR="00DE2252" w:rsidRPr="00504F19">
        <w:rPr>
          <w:rFonts w:ascii="Times New Roman" w:hAnsi="Times New Roman" w:cs="Times New Roman"/>
          <w:b/>
          <w:bCs/>
          <w:color w:val="000000" w:themeColor="text1"/>
          <w:sz w:val="20"/>
          <w:szCs w:val="20"/>
          <w:u w:val="single"/>
        </w:rPr>
        <w:t>;</w:t>
      </w:r>
      <w:r w:rsidR="005C5538" w:rsidRPr="00504F19">
        <w:rPr>
          <w:rFonts w:ascii="Times New Roman" w:hAnsi="Times New Roman" w:cs="Times New Roman"/>
          <w:b/>
          <w:bCs/>
          <w:color w:val="000000" w:themeColor="text1"/>
          <w:sz w:val="20"/>
          <w:szCs w:val="20"/>
          <w:u w:val="single"/>
        </w:rPr>
        <w:t xml:space="preserve"> as is also the case for the Internal Revenue Service</w:t>
      </w:r>
      <w:r w:rsidR="005C5538" w:rsidRPr="00504F19">
        <w:rPr>
          <w:rFonts w:ascii="Times New Roman" w:hAnsi="Times New Roman" w:cs="Times New Roman"/>
          <w:b/>
          <w:bCs/>
          <w:color w:val="000000" w:themeColor="text1"/>
          <w:sz w:val="20"/>
          <w:szCs w:val="20"/>
        </w:rPr>
        <w:t>.</w:t>
      </w:r>
      <w:r w:rsidRPr="00504F19">
        <w:rPr>
          <w:rFonts w:ascii="Times New Roman" w:hAnsi="Times New Roman" w:cs="Times New Roman"/>
          <w:b/>
          <w:bCs/>
          <w:color w:val="000000" w:themeColor="text1"/>
          <w:sz w:val="20"/>
          <w:szCs w:val="20"/>
        </w:rPr>
        <w:t xml:space="preserve"> </w:t>
      </w:r>
      <w:r w:rsidR="005C5538" w:rsidRPr="00D81F63">
        <w:rPr>
          <w:rFonts w:ascii="Times New Roman" w:hAnsi="Times New Roman"/>
          <w:sz w:val="20"/>
          <w:szCs w:val="20"/>
        </w:rPr>
        <w:t xml:space="preserve">Financial institutions, such as IRS or whatever is governed by several legitimizing compliance laws, including the Truth in Lending Act, the Paperwork Reduction Act, the Privacy Act, the Federal Register Act, etc., so if they are not in compliance with these mandates, the </w:t>
      </w:r>
      <w:r>
        <w:rPr>
          <w:rFonts w:ascii="Times New Roman" w:hAnsi="Times New Roman"/>
          <w:sz w:val="20"/>
          <w:szCs w:val="20"/>
        </w:rPr>
        <w:t xml:space="preserve">U.S. </w:t>
      </w:r>
      <w:r w:rsidR="005C5538" w:rsidRPr="00D81F63">
        <w:rPr>
          <w:rFonts w:ascii="Times New Roman" w:hAnsi="Times New Roman"/>
          <w:sz w:val="20"/>
          <w:szCs w:val="20"/>
        </w:rPr>
        <w:t xml:space="preserve">State cannot grant them legitimacy. </w:t>
      </w:r>
    </w:p>
    <w:p w14:paraId="5F2334A9" w14:textId="7B866A2E" w:rsidR="005C5538" w:rsidRDefault="005C5538" w:rsidP="005C5538">
      <w:pPr>
        <w:pStyle w:val="NoSpacing1"/>
        <w:spacing w:line="276" w:lineRule="auto"/>
        <w:jc w:val="both"/>
        <w:rPr>
          <w:rFonts w:ascii="Times New Roman" w:hAnsi="Times New Roman"/>
          <w:sz w:val="20"/>
          <w:szCs w:val="20"/>
        </w:rPr>
      </w:pPr>
      <w:r w:rsidRPr="00D81F63">
        <w:rPr>
          <w:rFonts w:ascii="Times New Roman" w:hAnsi="Times New Roman"/>
          <w:sz w:val="20"/>
          <w:szCs w:val="20"/>
        </w:rPr>
        <w:t xml:space="preserve">When acting as "agency of the United States", these entities must comply with Federal mandate; only </w:t>
      </w:r>
      <w:r w:rsidR="00504F19">
        <w:rPr>
          <w:rFonts w:ascii="Times New Roman" w:hAnsi="Times New Roman"/>
          <w:sz w:val="20"/>
          <w:szCs w:val="20"/>
        </w:rPr>
        <w:t xml:space="preserve">the U.S. </w:t>
      </w:r>
      <w:r w:rsidRPr="00D81F63">
        <w:rPr>
          <w:rFonts w:ascii="Times New Roman" w:hAnsi="Times New Roman"/>
          <w:sz w:val="20"/>
          <w:szCs w:val="20"/>
        </w:rPr>
        <w:t xml:space="preserve">Congress may legislate for any operation of Federal Government, per Article I, Sec. 8, clause 18 of the </w:t>
      </w:r>
      <w:r w:rsidR="00504F19">
        <w:rPr>
          <w:rFonts w:ascii="Times New Roman" w:hAnsi="Times New Roman"/>
          <w:sz w:val="20"/>
          <w:szCs w:val="20"/>
        </w:rPr>
        <w:t xml:space="preserve">U.S. </w:t>
      </w:r>
      <w:r w:rsidRPr="00D81F63">
        <w:rPr>
          <w:rFonts w:ascii="Times New Roman" w:hAnsi="Times New Roman"/>
          <w:sz w:val="20"/>
          <w:szCs w:val="20"/>
        </w:rPr>
        <w:t xml:space="preserve">Constitution. </w:t>
      </w:r>
      <w:r w:rsidRPr="00D81F63">
        <w:rPr>
          <w:rFonts w:ascii="Times New Roman" w:hAnsi="Times New Roman"/>
          <w:bCs/>
          <w:iCs/>
          <w:sz w:val="20"/>
          <w:szCs w:val="20"/>
        </w:rPr>
        <w:t>When it exceeds or fails to comply with Federal legislation, the agency takes on "</w:t>
      </w:r>
      <w:r w:rsidRPr="00504F19">
        <w:rPr>
          <w:rFonts w:ascii="Times New Roman" w:hAnsi="Times New Roman"/>
          <w:b/>
          <w:i/>
          <w:sz w:val="20"/>
          <w:szCs w:val="20"/>
        </w:rPr>
        <w:t>color of authority</w:t>
      </w:r>
      <w:r w:rsidRPr="00D81F63">
        <w:rPr>
          <w:rFonts w:ascii="Times New Roman" w:hAnsi="Times New Roman"/>
          <w:bCs/>
          <w:iCs/>
          <w:sz w:val="20"/>
          <w:szCs w:val="20"/>
        </w:rPr>
        <w:t xml:space="preserve">," </w:t>
      </w:r>
      <w:r w:rsidRPr="00D81F63">
        <w:rPr>
          <w:rFonts w:ascii="Times New Roman" w:hAnsi="Times New Roman"/>
          <w:sz w:val="20"/>
          <w:szCs w:val="20"/>
        </w:rPr>
        <w:t xml:space="preserve">so when it executes documents which have the appearance of legitimate Federal claims but don’t have, </w:t>
      </w:r>
      <w:r w:rsidRPr="005446B2">
        <w:rPr>
          <w:rFonts w:ascii="Times New Roman" w:hAnsi="Times New Roman"/>
          <w:b/>
          <w:bCs/>
          <w:i/>
          <w:iCs/>
          <w:sz w:val="20"/>
          <w:szCs w:val="20"/>
        </w:rPr>
        <w:t>they are counterfeiting securities of the United States</w:t>
      </w:r>
      <w:r w:rsidR="005446B2">
        <w:rPr>
          <w:rFonts w:ascii="Times New Roman" w:hAnsi="Times New Roman"/>
          <w:sz w:val="20"/>
          <w:szCs w:val="20"/>
        </w:rPr>
        <w:t xml:space="preserve">, </w:t>
      </w:r>
      <w:r w:rsidR="005446B2" w:rsidRPr="005446B2">
        <w:rPr>
          <w:rFonts w:ascii="Times New Roman" w:hAnsi="Times New Roman"/>
          <w:b/>
          <w:bCs/>
          <w:i/>
          <w:iCs/>
          <w:sz w:val="20"/>
          <w:szCs w:val="20"/>
        </w:rPr>
        <w:t>as is the case for delinquent IRS taxes.</w:t>
      </w:r>
      <w:r w:rsidR="005446B2">
        <w:rPr>
          <w:rFonts w:ascii="Times New Roman" w:hAnsi="Times New Roman"/>
          <w:sz w:val="20"/>
          <w:szCs w:val="20"/>
        </w:rPr>
        <w:t xml:space="preserve"> </w:t>
      </w:r>
      <w:r w:rsidRPr="00D81F63">
        <w:rPr>
          <w:rFonts w:ascii="Times New Roman" w:hAnsi="Times New Roman"/>
          <w:sz w:val="20"/>
          <w:szCs w:val="20"/>
        </w:rPr>
        <w:t xml:space="preserve">Each of the several States has laws against counterfeiting. </w:t>
      </w:r>
      <w:r w:rsidRPr="005446B2">
        <w:rPr>
          <w:rFonts w:ascii="Times New Roman" w:hAnsi="Times New Roman"/>
          <w:bCs/>
          <w:sz w:val="20"/>
          <w:szCs w:val="20"/>
        </w:rPr>
        <w:t xml:space="preserve">Governing State law against the counterfeiting effected in a private capacity; </w:t>
      </w:r>
      <w:r w:rsidRPr="00D81F63">
        <w:rPr>
          <w:rFonts w:ascii="Times New Roman" w:hAnsi="Times New Roman"/>
          <w:bCs/>
          <w:sz w:val="20"/>
          <w:szCs w:val="20"/>
        </w:rPr>
        <w:t>demonstrate</w:t>
      </w:r>
      <w:r w:rsidRPr="00D81F63">
        <w:rPr>
          <w:rFonts w:ascii="Times New Roman" w:hAnsi="Times New Roman"/>
          <w:sz w:val="20"/>
          <w:szCs w:val="20"/>
        </w:rPr>
        <w:t xml:space="preserve"> that they are not carrying out legitimate functions of an "agency of the United States". Thereby, </w:t>
      </w:r>
      <w:r w:rsidR="00504F19">
        <w:rPr>
          <w:rFonts w:ascii="Times New Roman" w:hAnsi="Times New Roman"/>
          <w:sz w:val="20"/>
          <w:szCs w:val="20"/>
        </w:rPr>
        <w:t xml:space="preserve">U.S. </w:t>
      </w:r>
      <w:r w:rsidRPr="00D81F63">
        <w:rPr>
          <w:rFonts w:ascii="Times New Roman" w:hAnsi="Times New Roman"/>
          <w:sz w:val="20"/>
          <w:szCs w:val="20"/>
        </w:rPr>
        <w:t xml:space="preserve">State law governs prosecution. </w:t>
      </w:r>
    </w:p>
    <w:p w14:paraId="32D065A9" w14:textId="77777777" w:rsidR="005C5538" w:rsidRPr="005C5538" w:rsidRDefault="005C5538" w:rsidP="005C5538">
      <w:pPr>
        <w:pStyle w:val="NoSpacing1"/>
        <w:spacing w:line="276" w:lineRule="auto"/>
        <w:jc w:val="both"/>
        <w:rPr>
          <w:rFonts w:ascii="Times New Roman" w:hAnsi="Times New Roman"/>
          <w:sz w:val="10"/>
          <w:szCs w:val="10"/>
        </w:rPr>
      </w:pPr>
    </w:p>
    <w:p w14:paraId="0154CE9B" w14:textId="2465C047" w:rsidR="0083427C" w:rsidRDefault="004C1A9C" w:rsidP="004C1A9C">
      <w:pPr>
        <w:spacing w:line="276" w:lineRule="auto"/>
        <w:jc w:val="both"/>
        <w:rPr>
          <w:rFonts w:ascii="Times New Roman" w:hAnsi="Times New Roman" w:cs="Times New Roman"/>
          <w:sz w:val="20"/>
          <w:szCs w:val="20"/>
        </w:rPr>
      </w:pPr>
      <w:r w:rsidRPr="004C1A9C">
        <w:rPr>
          <w:rFonts w:ascii="Times New Roman" w:hAnsi="Times New Roman" w:cs="Times New Roman"/>
          <w:sz w:val="20"/>
          <w:szCs w:val="20"/>
        </w:rPr>
        <w:t xml:space="preserve">The U.S. Constitution in 1789 called for the creation of a federal district under exclusive jurisdiction of the U.S. Congress, which would become a constituent </w:t>
      </w:r>
      <w:r>
        <w:rPr>
          <w:rFonts w:ascii="Times New Roman" w:hAnsi="Times New Roman" w:cs="Times New Roman"/>
          <w:sz w:val="20"/>
          <w:szCs w:val="20"/>
        </w:rPr>
        <w:t xml:space="preserve">or representative </w:t>
      </w:r>
      <w:r w:rsidRPr="004C1A9C">
        <w:rPr>
          <w:rFonts w:ascii="Times New Roman" w:hAnsi="Times New Roman" w:cs="Times New Roman"/>
          <w:sz w:val="20"/>
          <w:szCs w:val="20"/>
        </w:rPr>
        <w:t xml:space="preserve">part of the Union </w:t>
      </w:r>
      <w:r w:rsidRPr="005446B2">
        <w:rPr>
          <w:rFonts w:ascii="Times New Roman" w:hAnsi="Times New Roman" w:cs="Times New Roman"/>
          <w:b/>
          <w:bCs/>
          <w:i/>
          <w:iCs/>
          <w:sz w:val="20"/>
          <w:szCs w:val="20"/>
        </w:rPr>
        <w:t xml:space="preserve">that is not part of any </w:t>
      </w:r>
      <w:r w:rsidR="005446B2">
        <w:rPr>
          <w:rFonts w:ascii="Times New Roman" w:hAnsi="Times New Roman" w:cs="Times New Roman"/>
          <w:b/>
          <w:bCs/>
          <w:i/>
          <w:iCs/>
          <w:sz w:val="20"/>
          <w:szCs w:val="20"/>
        </w:rPr>
        <w:t>s</w:t>
      </w:r>
      <w:r w:rsidRPr="005446B2">
        <w:rPr>
          <w:rFonts w:ascii="Times New Roman" w:hAnsi="Times New Roman" w:cs="Times New Roman"/>
          <w:b/>
          <w:bCs/>
          <w:i/>
          <w:iCs/>
          <w:sz w:val="20"/>
          <w:szCs w:val="20"/>
        </w:rPr>
        <w:t xml:space="preserve">tate or territory of the United States. </w:t>
      </w:r>
      <w:r w:rsidRPr="005446B2">
        <w:rPr>
          <w:rFonts w:ascii="Times New Roman" w:hAnsi="Times New Roman" w:cs="Times New Roman"/>
          <w:sz w:val="20"/>
          <w:szCs w:val="20"/>
        </w:rPr>
        <w:t>The</w:t>
      </w:r>
      <w:r w:rsidRPr="005446B2">
        <w:rPr>
          <w:rFonts w:ascii="Times New Roman" w:hAnsi="Times New Roman" w:cs="Times New Roman"/>
          <w:b/>
          <w:bCs/>
          <w:i/>
          <w:iCs/>
          <w:sz w:val="20"/>
          <w:szCs w:val="20"/>
        </w:rPr>
        <w:t xml:space="preserve"> </w:t>
      </w:r>
      <w:r w:rsidRPr="004C1A9C">
        <w:rPr>
          <w:rFonts w:ascii="Times New Roman" w:hAnsi="Times New Roman" w:cs="Times New Roman"/>
          <w:sz w:val="20"/>
          <w:szCs w:val="20"/>
        </w:rPr>
        <w:t xml:space="preserve">Residence Act, adopted on July 16, 1790, approved the creation of the </w:t>
      </w:r>
      <w:r w:rsidRPr="00D57CC3">
        <w:rPr>
          <w:rFonts w:ascii="Times New Roman" w:hAnsi="Times New Roman" w:cs="Times New Roman"/>
          <w:sz w:val="20"/>
          <w:szCs w:val="20"/>
        </w:rPr>
        <w:t>capital district</w:t>
      </w:r>
      <w:r w:rsidR="00D57CC3">
        <w:rPr>
          <w:rFonts w:ascii="Times New Roman" w:hAnsi="Times New Roman" w:cs="Times New Roman"/>
          <w:sz w:val="20"/>
          <w:szCs w:val="20"/>
        </w:rPr>
        <w:t xml:space="preserve">, also called the federal district, </w:t>
      </w:r>
      <w:r w:rsidRPr="004C1A9C">
        <w:rPr>
          <w:rFonts w:ascii="Times New Roman" w:hAnsi="Times New Roman" w:cs="Times New Roman"/>
          <w:sz w:val="20"/>
          <w:szCs w:val="20"/>
        </w:rPr>
        <w:t xml:space="preserve">along the Potomac River, and is considered the city's founding date. In 1800, when the capital was moved from </w:t>
      </w:r>
      <w:r w:rsidRPr="00D57CC3">
        <w:rPr>
          <w:rFonts w:ascii="Times New Roman" w:hAnsi="Times New Roman" w:cs="Times New Roman"/>
          <w:sz w:val="20"/>
          <w:szCs w:val="20"/>
        </w:rPr>
        <w:t>Philadelphia</w:t>
      </w:r>
      <w:r w:rsidRPr="004C1A9C">
        <w:rPr>
          <w:rFonts w:ascii="Times New Roman" w:hAnsi="Times New Roman" w:cs="Times New Roman"/>
          <w:sz w:val="20"/>
          <w:szCs w:val="20"/>
        </w:rPr>
        <w:t xml:space="preserve">, the </w:t>
      </w:r>
      <w:r w:rsidRPr="00D57CC3">
        <w:rPr>
          <w:rFonts w:ascii="Times New Roman" w:hAnsi="Times New Roman" w:cs="Times New Roman"/>
          <w:sz w:val="20"/>
          <w:szCs w:val="20"/>
        </w:rPr>
        <w:t>6th Congress</w:t>
      </w:r>
      <w:r w:rsidRPr="004C1A9C">
        <w:rPr>
          <w:rFonts w:ascii="Times New Roman" w:hAnsi="Times New Roman" w:cs="Times New Roman"/>
          <w:sz w:val="20"/>
          <w:szCs w:val="20"/>
        </w:rPr>
        <w:t xml:space="preserve"> started meeting in the then-unfinished </w:t>
      </w:r>
      <w:r w:rsidR="00D57CC3">
        <w:rPr>
          <w:rFonts w:ascii="Times New Roman" w:hAnsi="Times New Roman" w:cs="Times New Roman"/>
          <w:sz w:val="20"/>
          <w:szCs w:val="20"/>
        </w:rPr>
        <w:t xml:space="preserve">United States </w:t>
      </w:r>
      <w:r w:rsidRPr="00D57CC3">
        <w:rPr>
          <w:rFonts w:ascii="Times New Roman" w:hAnsi="Times New Roman" w:cs="Times New Roman"/>
          <w:sz w:val="20"/>
          <w:szCs w:val="20"/>
        </w:rPr>
        <w:t>Capitol Building</w:t>
      </w:r>
      <w:r w:rsidRPr="004C1A9C">
        <w:rPr>
          <w:rFonts w:ascii="Times New Roman" w:hAnsi="Times New Roman" w:cs="Times New Roman"/>
          <w:sz w:val="20"/>
          <w:szCs w:val="20"/>
        </w:rPr>
        <w:t xml:space="preserve">, and the second </w:t>
      </w:r>
      <w:r w:rsidR="00D57CC3">
        <w:rPr>
          <w:rFonts w:ascii="Times New Roman" w:hAnsi="Times New Roman" w:cs="Times New Roman"/>
          <w:sz w:val="20"/>
          <w:szCs w:val="20"/>
        </w:rPr>
        <w:t xml:space="preserve">U.S. </w:t>
      </w:r>
      <w:r w:rsidRPr="004C1A9C">
        <w:rPr>
          <w:rFonts w:ascii="Times New Roman" w:hAnsi="Times New Roman" w:cs="Times New Roman"/>
          <w:sz w:val="20"/>
          <w:szCs w:val="20"/>
        </w:rPr>
        <w:t xml:space="preserve">president, </w:t>
      </w:r>
      <w:r w:rsidRPr="00D57CC3">
        <w:rPr>
          <w:rFonts w:ascii="Times New Roman" w:hAnsi="Times New Roman" w:cs="Times New Roman"/>
          <w:sz w:val="20"/>
          <w:szCs w:val="20"/>
        </w:rPr>
        <w:t>John Adams</w:t>
      </w:r>
      <w:r w:rsidRPr="004C1A9C">
        <w:rPr>
          <w:rFonts w:ascii="Times New Roman" w:hAnsi="Times New Roman" w:cs="Times New Roman"/>
          <w:sz w:val="20"/>
          <w:szCs w:val="20"/>
        </w:rPr>
        <w:t xml:space="preserve">, moved into the newly </w:t>
      </w:r>
      <w:r w:rsidR="00D57CC3">
        <w:rPr>
          <w:rFonts w:ascii="Times New Roman" w:hAnsi="Times New Roman" w:cs="Times New Roman"/>
          <w:sz w:val="20"/>
          <w:szCs w:val="20"/>
        </w:rPr>
        <w:t>completed</w:t>
      </w:r>
      <w:r w:rsidRPr="004C1A9C">
        <w:rPr>
          <w:rFonts w:ascii="Times New Roman" w:hAnsi="Times New Roman" w:cs="Times New Roman"/>
          <w:sz w:val="20"/>
          <w:szCs w:val="20"/>
        </w:rPr>
        <w:t xml:space="preserve"> </w:t>
      </w:r>
      <w:r w:rsidRPr="00D57CC3">
        <w:rPr>
          <w:rFonts w:ascii="Times New Roman" w:hAnsi="Times New Roman" w:cs="Times New Roman"/>
          <w:sz w:val="20"/>
          <w:szCs w:val="20"/>
        </w:rPr>
        <w:t>White House</w:t>
      </w:r>
      <w:r w:rsidRPr="004C1A9C">
        <w:rPr>
          <w:rFonts w:ascii="Times New Roman" w:hAnsi="Times New Roman" w:cs="Times New Roman"/>
          <w:sz w:val="20"/>
          <w:szCs w:val="20"/>
        </w:rPr>
        <w:t xml:space="preserve">. In 1801, the District of Columbia, formerly part of Maryland and Virginia and including the existing </w:t>
      </w:r>
      <w:r w:rsidRPr="008D263E">
        <w:rPr>
          <w:rFonts w:ascii="Times New Roman" w:hAnsi="Times New Roman" w:cs="Times New Roman"/>
          <w:i/>
          <w:iCs/>
          <w:sz w:val="20"/>
          <w:szCs w:val="20"/>
        </w:rPr>
        <w:t>settlements</w:t>
      </w:r>
      <w:r w:rsidRPr="004C1A9C">
        <w:rPr>
          <w:rFonts w:ascii="Times New Roman" w:hAnsi="Times New Roman" w:cs="Times New Roman"/>
          <w:sz w:val="20"/>
          <w:szCs w:val="20"/>
        </w:rPr>
        <w:t xml:space="preserve"> of </w:t>
      </w:r>
      <w:r w:rsidRPr="00D57CC3">
        <w:rPr>
          <w:rFonts w:ascii="Times New Roman" w:hAnsi="Times New Roman" w:cs="Times New Roman"/>
          <w:sz w:val="20"/>
          <w:szCs w:val="20"/>
        </w:rPr>
        <w:t>Georgetown</w:t>
      </w:r>
      <w:r w:rsidRPr="004C1A9C">
        <w:rPr>
          <w:rFonts w:ascii="Times New Roman" w:hAnsi="Times New Roman" w:cs="Times New Roman"/>
          <w:sz w:val="20"/>
          <w:szCs w:val="20"/>
        </w:rPr>
        <w:t xml:space="preserve"> and </w:t>
      </w:r>
      <w:r w:rsidRPr="00D57CC3">
        <w:rPr>
          <w:rFonts w:ascii="Times New Roman" w:hAnsi="Times New Roman" w:cs="Times New Roman"/>
          <w:sz w:val="20"/>
          <w:szCs w:val="20"/>
        </w:rPr>
        <w:t>Alexandria</w:t>
      </w:r>
      <w:r w:rsidRPr="004C1A9C">
        <w:rPr>
          <w:rFonts w:ascii="Times New Roman" w:hAnsi="Times New Roman" w:cs="Times New Roman"/>
          <w:sz w:val="20"/>
          <w:szCs w:val="20"/>
        </w:rPr>
        <w:t>, was officially made the federal district</w:t>
      </w:r>
      <w:r w:rsidR="008D263E">
        <w:rPr>
          <w:rFonts w:ascii="Times New Roman" w:hAnsi="Times New Roman" w:cs="Times New Roman"/>
          <w:sz w:val="20"/>
          <w:szCs w:val="20"/>
        </w:rPr>
        <w:t>. I</w:t>
      </w:r>
      <w:r w:rsidRPr="004C1A9C">
        <w:rPr>
          <w:rFonts w:ascii="Times New Roman" w:hAnsi="Times New Roman" w:cs="Times New Roman"/>
          <w:sz w:val="20"/>
          <w:szCs w:val="20"/>
        </w:rPr>
        <w:t xml:space="preserve">nitially, the city </w:t>
      </w:r>
      <w:r w:rsidR="00D57CC3">
        <w:rPr>
          <w:rFonts w:ascii="Times New Roman" w:hAnsi="Times New Roman" w:cs="Times New Roman"/>
          <w:sz w:val="20"/>
          <w:szCs w:val="20"/>
        </w:rPr>
        <w:t xml:space="preserve">of Washington, DC, </w:t>
      </w:r>
      <w:r w:rsidRPr="004C1A9C">
        <w:rPr>
          <w:rFonts w:ascii="Times New Roman" w:hAnsi="Times New Roman" w:cs="Times New Roman"/>
          <w:sz w:val="20"/>
          <w:szCs w:val="20"/>
        </w:rPr>
        <w:t>was a separate</w:t>
      </w:r>
      <w:r w:rsidRPr="008D263E">
        <w:rPr>
          <w:rFonts w:ascii="Times New Roman" w:hAnsi="Times New Roman" w:cs="Times New Roman"/>
          <w:i/>
          <w:iCs/>
          <w:sz w:val="20"/>
          <w:szCs w:val="20"/>
        </w:rPr>
        <w:t xml:space="preserve"> settlement</w:t>
      </w:r>
      <w:r w:rsidRPr="004C1A9C">
        <w:rPr>
          <w:rFonts w:ascii="Times New Roman" w:hAnsi="Times New Roman" w:cs="Times New Roman"/>
          <w:sz w:val="20"/>
          <w:szCs w:val="20"/>
        </w:rPr>
        <w:t xml:space="preserve"> within the larger district.</w:t>
      </w:r>
      <w:r w:rsidR="00D57CC3">
        <w:rPr>
          <w:rFonts w:ascii="Times New Roman" w:hAnsi="Times New Roman" w:cs="Times New Roman"/>
          <w:sz w:val="20"/>
          <w:szCs w:val="20"/>
        </w:rPr>
        <w:t xml:space="preserve"> </w:t>
      </w:r>
      <w:r w:rsidR="0083427C" w:rsidRPr="0083427C">
        <w:rPr>
          <w:rFonts w:ascii="Times New Roman" w:hAnsi="Times New Roman" w:cs="Times New Roman"/>
          <w:sz w:val="20"/>
          <w:szCs w:val="20"/>
        </w:rPr>
        <w:t xml:space="preserve">Washington, D.C., anchors the southern end of the </w:t>
      </w:r>
      <w:r w:rsidR="0083427C" w:rsidRPr="005C5538">
        <w:rPr>
          <w:rFonts w:ascii="Times New Roman" w:hAnsi="Times New Roman" w:cs="Times New Roman"/>
          <w:sz w:val="20"/>
          <w:szCs w:val="20"/>
        </w:rPr>
        <w:t>Northeast megalopolis</w:t>
      </w:r>
      <w:r w:rsidR="0083427C" w:rsidRPr="0083427C">
        <w:rPr>
          <w:rFonts w:ascii="Times New Roman" w:hAnsi="Times New Roman" w:cs="Times New Roman"/>
          <w:sz w:val="20"/>
          <w:szCs w:val="20"/>
        </w:rPr>
        <w:t xml:space="preserve">. As the seat of the </w:t>
      </w:r>
      <w:r w:rsidR="0083427C" w:rsidRPr="005C5538">
        <w:rPr>
          <w:rFonts w:ascii="Times New Roman" w:hAnsi="Times New Roman" w:cs="Times New Roman"/>
          <w:sz w:val="20"/>
          <w:szCs w:val="20"/>
        </w:rPr>
        <w:t>U.S. federal government</w:t>
      </w:r>
      <w:r w:rsidR="0083427C" w:rsidRPr="0083427C">
        <w:rPr>
          <w:rFonts w:ascii="Times New Roman" w:hAnsi="Times New Roman" w:cs="Times New Roman"/>
          <w:sz w:val="20"/>
          <w:szCs w:val="20"/>
        </w:rPr>
        <w:t xml:space="preserve">, the city is an important </w:t>
      </w:r>
      <w:r w:rsidR="0083427C" w:rsidRPr="005C5538">
        <w:rPr>
          <w:rFonts w:ascii="Times New Roman" w:hAnsi="Times New Roman" w:cs="Times New Roman"/>
          <w:sz w:val="20"/>
          <w:szCs w:val="20"/>
        </w:rPr>
        <w:t>world political capital</w:t>
      </w:r>
      <w:r w:rsidR="0083427C" w:rsidRPr="0083427C">
        <w:rPr>
          <w:rFonts w:ascii="Times New Roman" w:hAnsi="Times New Roman" w:cs="Times New Roman"/>
          <w:sz w:val="20"/>
          <w:szCs w:val="20"/>
        </w:rPr>
        <w:t>.</w:t>
      </w:r>
    </w:p>
    <w:p w14:paraId="43D5AA5F" w14:textId="1DA245AB" w:rsidR="0083427C" w:rsidRPr="00C07F93" w:rsidRDefault="0083427C" w:rsidP="00C07F93">
      <w:pPr>
        <w:pStyle w:val="ListParagraph"/>
        <w:spacing w:line="276" w:lineRule="auto"/>
        <w:jc w:val="both"/>
        <w:rPr>
          <w:rFonts w:ascii="Times New Roman" w:hAnsi="Times New Roman" w:cs="Times New Roman"/>
          <w:sz w:val="20"/>
          <w:szCs w:val="20"/>
        </w:rPr>
      </w:pPr>
      <w:r w:rsidRPr="00C07F93">
        <w:rPr>
          <w:rFonts w:ascii="Times New Roman" w:hAnsi="Times New Roman" w:cs="Times New Roman"/>
          <w:sz w:val="20"/>
          <w:szCs w:val="20"/>
        </w:rPr>
        <w:t>The Washington metropolitan area, which includes parts of Maryland, Virginia, and West Virginia, is the country's seventh-largest metropolitan area, with a 2023 population of 6.3 million residents. A locally elected mayor and 13-member council have governed the district since 1973, though Congress retains the power to overturn local laws. Washington, D.C., residents do not have voting representation in Congress</w:t>
      </w:r>
      <w:r w:rsidR="00C07F93">
        <w:rPr>
          <w:rFonts w:ascii="Times New Roman" w:hAnsi="Times New Roman" w:cs="Times New Roman"/>
          <w:sz w:val="20"/>
          <w:szCs w:val="20"/>
        </w:rPr>
        <w:t xml:space="preserve"> </w:t>
      </w:r>
      <w:r w:rsidRPr="00C07F93">
        <w:rPr>
          <w:rFonts w:ascii="Times New Roman" w:hAnsi="Times New Roman" w:cs="Times New Roman"/>
          <w:sz w:val="20"/>
          <w:szCs w:val="20"/>
        </w:rPr>
        <w:t>but elect a single non-voting congressional delegate to the U.S. House of Representatives. The city's voters choose three presidential electors in accordance with the Twenty-third Amendment, passed in 1961.</w:t>
      </w:r>
    </w:p>
    <w:p w14:paraId="1AE5B142" w14:textId="380A26BB" w:rsidR="003A5BD8" w:rsidRPr="004C1A9C" w:rsidRDefault="004C1A9C" w:rsidP="003A5BD8">
      <w:pPr>
        <w:spacing w:line="276" w:lineRule="auto"/>
        <w:jc w:val="both"/>
        <w:rPr>
          <w:rFonts w:ascii="Times New Roman" w:hAnsi="Times New Roman" w:cs="Times New Roman"/>
          <w:sz w:val="20"/>
          <w:szCs w:val="20"/>
        </w:rPr>
      </w:pPr>
      <w:r w:rsidRPr="004C1A9C">
        <w:rPr>
          <w:rFonts w:ascii="Times New Roman" w:hAnsi="Times New Roman" w:cs="Times New Roman"/>
          <w:sz w:val="20"/>
          <w:szCs w:val="20"/>
        </w:rPr>
        <w:t xml:space="preserve">In 1846, </w:t>
      </w:r>
      <w:r w:rsidR="00C07F93">
        <w:rPr>
          <w:rFonts w:ascii="Times New Roman" w:hAnsi="Times New Roman" w:cs="Times New Roman"/>
          <w:sz w:val="20"/>
          <w:szCs w:val="20"/>
        </w:rPr>
        <w:t xml:space="preserve">the U.S. </w:t>
      </w:r>
      <w:r w:rsidRPr="004C1A9C">
        <w:rPr>
          <w:rFonts w:ascii="Times New Roman" w:hAnsi="Times New Roman" w:cs="Times New Roman"/>
          <w:sz w:val="20"/>
          <w:szCs w:val="20"/>
        </w:rPr>
        <w:t xml:space="preserve">Congress reduced the size of the </w:t>
      </w:r>
      <w:r w:rsidR="002E5C70">
        <w:rPr>
          <w:rFonts w:ascii="Times New Roman" w:hAnsi="Times New Roman" w:cs="Times New Roman"/>
          <w:sz w:val="20"/>
          <w:szCs w:val="20"/>
        </w:rPr>
        <w:t xml:space="preserve">federal </w:t>
      </w:r>
      <w:r w:rsidRPr="004C1A9C">
        <w:rPr>
          <w:rFonts w:ascii="Times New Roman" w:hAnsi="Times New Roman" w:cs="Times New Roman"/>
          <w:sz w:val="20"/>
          <w:szCs w:val="20"/>
        </w:rPr>
        <w:t xml:space="preserve">district when it </w:t>
      </w:r>
      <w:r w:rsidRPr="005C5538">
        <w:rPr>
          <w:rFonts w:ascii="Times New Roman" w:hAnsi="Times New Roman" w:cs="Times New Roman"/>
          <w:sz w:val="20"/>
          <w:szCs w:val="20"/>
        </w:rPr>
        <w:t>returned the land that Virginia had ceded</w:t>
      </w:r>
      <w:r w:rsidRPr="004C1A9C">
        <w:rPr>
          <w:rFonts w:ascii="Times New Roman" w:hAnsi="Times New Roman" w:cs="Times New Roman"/>
          <w:sz w:val="20"/>
          <w:szCs w:val="20"/>
        </w:rPr>
        <w:t>, including the city of Alexandria</w:t>
      </w:r>
      <w:r w:rsidR="002E5C70">
        <w:rPr>
          <w:rFonts w:ascii="Times New Roman" w:hAnsi="Times New Roman" w:cs="Times New Roman"/>
          <w:sz w:val="20"/>
          <w:szCs w:val="20"/>
        </w:rPr>
        <w:t>, and i</w:t>
      </w:r>
      <w:r w:rsidRPr="00C07F93">
        <w:rPr>
          <w:rFonts w:ascii="Times New Roman" w:hAnsi="Times New Roman" w:cs="Times New Roman"/>
          <w:sz w:val="20"/>
          <w:szCs w:val="20"/>
        </w:rPr>
        <w:t xml:space="preserve">n 1871, it </w:t>
      </w:r>
      <w:r w:rsidR="00C07F93" w:rsidRPr="00C07F93">
        <w:rPr>
          <w:rFonts w:ascii="Times New Roman" w:hAnsi="Times New Roman" w:cs="Times New Roman"/>
          <w:sz w:val="20"/>
          <w:szCs w:val="20"/>
        </w:rPr>
        <w:t>consolidated</w:t>
      </w:r>
      <w:r w:rsidRPr="00C07F93">
        <w:rPr>
          <w:rFonts w:ascii="Times New Roman" w:hAnsi="Times New Roman" w:cs="Times New Roman"/>
          <w:sz w:val="20"/>
          <w:szCs w:val="20"/>
        </w:rPr>
        <w:t xml:space="preserve"> the entire district into a single municipality</w:t>
      </w:r>
      <w:r w:rsidR="002E5C70">
        <w:rPr>
          <w:rFonts w:ascii="Times New Roman" w:hAnsi="Times New Roman" w:cs="Times New Roman"/>
          <w:sz w:val="20"/>
          <w:szCs w:val="20"/>
        </w:rPr>
        <w:t>. T</w:t>
      </w:r>
      <w:r w:rsidR="00C07F93" w:rsidRPr="00C07F93">
        <w:rPr>
          <w:rFonts w:ascii="Times New Roman" w:hAnsi="Times New Roman" w:cs="Times New Roman"/>
          <w:sz w:val="20"/>
          <w:szCs w:val="20"/>
        </w:rPr>
        <w:t xml:space="preserve">his </w:t>
      </w:r>
      <w:r w:rsidR="002E5C70">
        <w:rPr>
          <w:rFonts w:ascii="Times New Roman" w:hAnsi="Times New Roman" w:cs="Times New Roman"/>
          <w:sz w:val="20"/>
          <w:szCs w:val="20"/>
        </w:rPr>
        <w:t xml:space="preserve">legislative action </w:t>
      </w:r>
      <w:r w:rsidR="00C07F93" w:rsidRPr="00C07F93">
        <w:rPr>
          <w:rFonts w:ascii="Times New Roman" w:hAnsi="Times New Roman" w:cs="Times New Roman"/>
          <w:sz w:val="20"/>
          <w:szCs w:val="20"/>
        </w:rPr>
        <w:t>was followed by the consolidation of New York City on January 1, 1898,</w:t>
      </w:r>
      <w:r w:rsidR="002E5C70">
        <w:rPr>
          <w:rFonts w:ascii="Times New Roman" w:hAnsi="Times New Roman" w:cs="Times New Roman"/>
          <w:sz w:val="20"/>
          <w:szCs w:val="20"/>
        </w:rPr>
        <w:t xml:space="preserve"> that</w:t>
      </w:r>
      <w:r w:rsidR="00C07F93" w:rsidRPr="00C07F93">
        <w:rPr>
          <w:rFonts w:ascii="Times New Roman" w:hAnsi="Times New Roman" w:cs="Times New Roman"/>
          <w:sz w:val="20"/>
          <w:szCs w:val="20"/>
        </w:rPr>
        <w:t xml:space="preserve"> merged Manhattan, Brooklyn, the Bronx, Queens, and Staten Island into a single metropolis known as the City of Greater New York.</w:t>
      </w:r>
      <w:r w:rsidR="003A5BD8">
        <w:rPr>
          <w:rFonts w:ascii="Times New Roman" w:hAnsi="Times New Roman" w:cs="Times New Roman"/>
          <w:sz w:val="20"/>
          <w:szCs w:val="20"/>
        </w:rPr>
        <w:t xml:space="preserve"> </w:t>
      </w:r>
      <w:r w:rsidR="003A5BD8" w:rsidRPr="004C1A9C">
        <w:rPr>
          <w:rFonts w:ascii="Times New Roman" w:hAnsi="Times New Roman" w:cs="Times New Roman"/>
          <w:sz w:val="20"/>
          <w:szCs w:val="20"/>
        </w:rPr>
        <w:t xml:space="preserve">There have been several failed efforts to </w:t>
      </w:r>
      <w:r w:rsidR="003A5BD8" w:rsidRPr="005C5538">
        <w:rPr>
          <w:rFonts w:ascii="Times New Roman" w:hAnsi="Times New Roman" w:cs="Times New Roman"/>
          <w:sz w:val="20"/>
          <w:szCs w:val="20"/>
        </w:rPr>
        <w:t>reduce the</w:t>
      </w:r>
      <w:r w:rsidR="003A5BD8">
        <w:rPr>
          <w:rFonts w:ascii="Times New Roman" w:hAnsi="Times New Roman" w:cs="Times New Roman"/>
          <w:sz w:val="20"/>
          <w:szCs w:val="20"/>
        </w:rPr>
        <w:t xml:space="preserve"> federal</w:t>
      </w:r>
      <w:r w:rsidR="003A5BD8" w:rsidRPr="005C5538">
        <w:rPr>
          <w:rFonts w:ascii="Times New Roman" w:hAnsi="Times New Roman" w:cs="Times New Roman"/>
          <w:sz w:val="20"/>
          <w:szCs w:val="20"/>
        </w:rPr>
        <w:t xml:space="preserve"> district further and admit the rest as a state</w:t>
      </w:r>
      <w:r w:rsidR="003A5BD8" w:rsidRPr="004C1A9C">
        <w:rPr>
          <w:rFonts w:ascii="Times New Roman" w:hAnsi="Times New Roman" w:cs="Times New Roman"/>
          <w:sz w:val="20"/>
          <w:szCs w:val="20"/>
        </w:rPr>
        <w:t xml:space="preserve"> since the 1880s, including a </w:t>
      </w:r>
      <w:r w:rsidR="003A5BD8" w:rsidRPr="005C5538">
        <w:rPr>
          <w:rFonts w:ascii="Times New Roman" w:hAnsi="Times New Roman" w:cs="Times New Roman"/>
          <w:sz w:val="20"/>
          <w:szCs w:val="20"/>
        </w:rPr>
        <w:t>statehood bill</w:t>
      </w:r>
      <w:r w:rsidR="003A5BD8" w:rsidRPr="004C1A9C">
        <w:rPr>
          <w:rFonts w:ascii="Times New Roman" w:hAnsi="Times New Roman" w:cs="Times New Roman"/>
          <w:sz w:val="20"/>
          <w:szCs w:val="20"/>
        </w:rPr>
        <w:t xml:space="preserve"> that passed the </w:t>
      </w:r>
      <w:r w:rsidR="003A5BD8" w:rsidRPr="005C5538">
        <w:rPr>
          <w:rFonts w:ascii="Times New Roman" w:hAnsi="Times New Roman" w:cs="Times New Roman"/>
          <w:sz w:val="20"/>
          <w:szCs w:val="20"/>
        </w:rPr>
        <w:t>House of Representatives</w:t>
      </w:r>
      <w:r w:rsidR="003A5BD8" w:rsidRPr="004C1A9C">
        <w:rPr>
          <w:rFonts w:ascii="Times New Roman" w:hAnsi="Times New Roman" w:cs="Times New Roman"/>
          <w:sz w:val="20"/>
          <w:szCs w:val="20"/>
        </w:rPr>
        <w:t xml:space="preserve"> in 2021 but was not adopted by the </w:t>
      </w:r>
      <w:r w:rsidR="003A5BD8" w:rsidRPr="005C5538">
        <w:rPr>
          <w:rFonts w:ascii="Times New Roman" w:hAnsi="Times New Roman" w:cs="Times New Roman"/>
          <w:sz w:val="20"/>
          <w:szCs w:val="20"/>
        </w:rPr>
        <w:t>U.S. Senate</w:t>
      </w:r>
      <w:r w:rsidR="003A5BD8" w:rsidRPr="004C1A9C">
        <w:rPr>
          <w:rFonts w:ascii="Times New Roman" w:hAnsi="Times New Roman" w:cs="Times New Roman"/>
          <w:sz w:val="20"/>
          <w:szCs w:val="20"/>
        </w:rPr>
        <w:t>.</w:t>
      </w:r>
    </w:p>
    <w:p w14:paraId="5E5A301D" w14:textId="08591953" w:rsidR="00C07F93" w:rsidRPr="00C07F93" w:rsidRDefault="00C07F93" w:rsidP="004C1A9C">
      <w:pPr>
        <w:spacing w:line="276" w:lineRule="auto"/>
        <w:jc w:val="both"/>
        <w:rPr>
          <w:rFonts w:ascii="Times New Roman" w:hAnsi="Times New Roman" w:cs="Times New Roman"/>
          <w:sz w:val="20"/>
          <w:szCs w:val="20"/>
        </w:rPr>
      </w:pPr>
      <w:r w:rsidRPr="00C07F93">
        <w:rPr>
          <w:rFonts w:ascii="Times New Roman" w:hAnsi="Times New Roman" w:cs="Times New Roman"/>
          <w:sz w:val="20"/>
          <w:szCs w:val="20"/>
        </w:rPr>
        <w:t>The movement for consolidation began as early as 1820, but it gained significant momentum by the late 19th century. Proponents argued that a unified city would operate more efficiently and solidify New York's status as the economic and cultural capital of the nation. The consolidation aimed to streamline governance and improve public services across the diverse boroughs</w:t>
      </w:r>
      <w:r>
        <w:rPr>
          <w:rFonts w:ascii="Times New Roman" w:hAnsi="Times New Roman" w:cs="Times New Roman"/>
          <w:sz w:val="20"/>
          <w:szCs w:val="20"/>
        </w:rPr>
        <w:t xml:space="preserve">. </w:t>
      </w:r>
      <w:r w:rsidRPr="00C07F93">
        <w:rPr>
          <w:rFonts w:ascii="Times New Roman" w:hAnsi="Times New Roman" w:cs="Times New Roman"/>
          <w:sz w:val="20"/>
          <w:szCs w:val="20"/>
        </w:rPr>
        <w:t xml:space="preserve">This new </w:t>
      </w:r>
      <w:r>
        <w:rPr>
          <w:rFonts w:ascii="Times New Roman" w:hAnsi="Times New Roman" w:cs="Times New Roman"/>
          <w:sz w:val="20"/>
          <w:szCs w:val="20"/>
        </w:rPr>
        <w:t xml:space="preserve">consolidated </w:t>
      </w:r>
      <w:r w:rsidRPr="00C07F93">
        <w:rPr>
          <w:rFonts w:ascii="Times New Roman" w:hAnsi="Times New Roman" w:cs="Times New Roman"/>
          <w:sz w:val="20"/>
          <w:szCs w:val="20"/>
        </w:rPr>
        <w:t xml:space="preserve">structure </w:t>
      </w:r>
      <w:r>
        <w:rPr>
          <w:rFonts w:ascii="Times New Roman" w:hAnsi="Times New Roman" w:cs="Times New Roman"/>
          <w:sz w:val="20"/>
          <w:szCs w:val="20"/>
        </w:rPr>
        <w:t xml:space="preserve">allegedly </w:t>
      </w:r>
      <w:r w:rsidRPr="00C07F93">
        <w:rPr>
          <w:rFonts w:ascii="Times New Roman" w:hAnsi="Times New Roman" w:cs="Times New Roman"/>
          <w:sz w:val="20"/>
          <w:szCs w:val="20"/>
        </w:rPr>
        <w:t xml:space="preserve">allowed for better coordination of services and resources, although it also led to ongoing debates about governance and representation among the boroughs. </w:t>
      </w:r>
      <w:r>
        <w:rPr>
          <w:rFonts w:ascii="Times New Roman" w:hAnsi="Times New Roman" w:cs="Times New Roman"/>
          <w:sz w:val="20"/>
          <w:szCs w:val="20"/>
        </w:rPr>
        <w:t>It also</w:t>
      </w:r>
      <w:r w:rsidRPr="00C07F93">
        <w:rPr>
          <w:rFonts w:ascii="Times New Roman" w:hAnsi="Times New Roman" w:cs="Times New Roman"/>
          <w:sz w:val="20"/>
          <w:szCs w:val="20"/>
        </w:rPr>
        <w:t xml:space="preserve"> </w:t>
      </w:r>
      <w:r w:rsidRPr="00C07F93">
        <w:rPr>
          <w:rFonts w:ascii="Times New Roman" w:hAnsi="Times New Roman" w:cs="Times New Roman"/>
          <w:sz w:val="20"/>
          <w:szCs w:val="20"/>
        </w:rPr>
        <w:lastRenderedPageBreak/>
        <w:t>marked a significant turning point in New York City's history, shaping its development into one of the world's largest and most influential cities</w:t>
      </w:r>
      <w:r>
        <w:rPr>
          <w:rFonts w:ascii="Times New Roman" w:hAnsi="Times New Roman" w:cs="Times New Roman"/>
          <w:sz w:val="20"/>
          <w:szCs w:val="20"/>
        </w:rPr>
        <w:t>, while simultaneously</w:t>
      </w:r>
      <w:r w:rsidRPr="00C07F93">
        <w:rPr>
          <w:rFonts w:ascii="Times New Roman" w:hAnsi="Times New Roman" w:cs="Times New Roman"/>
          <w:sz w:val="20"/>
          <w:szCs w:val="20"/>
        </w:rPr>
        <w:t xml:space="preserve"> transform</w:t>
      </w:r>
      <w:r>
        <w:rPr>
          <w:rFonts w:ascii="Times New Roman" w:hAnsi="Times New Roman" w:cs="Times New Roman"/>
          <w:sz w:val="20"/>
          <w:szCs w:val="20"/>
        </w:rPr>
        <w:t>ing</w:t>
      </w:r>
      <w:r w:rsidRPr="00C07F93">
        <w:rPr>
          <w:rFonts w:ascii="Times New Roman" w:hAnsi="Times New Roman" w:cs="Times New Roman"/>
          <w:sz w:val="20"/>
          <w:szCs w:val="20"/>
        </w:rPr>
        <w:t xml:space="preserve"> the urban landscape and governance of the region, </w:t>
      </w:r>
      <w:r>
        <w:rPr>
          <w:rFonts w:ascii="Times New Roman" w:hAnsi="Times New Roman" w:cs="Times New Roman"/>
          <w:sz w:val="20"/>
          <w:szCs w:val="20"/>
        </w:rPr>
        <w:t xml:space="preserve">and </w:t>
      </w:r>
      <w:r w:rsidRPr="00C07F93">
        <w:rPr>
          <w:rFonts w:ascii="Times New Roman" w:hAnsi="Times New Roman" w:cs="Times New Roman"/>
          <w:sz w:val="20"/>
          <w:szCs w:val="20"/>
        </w:rPr>
        <w:t>laying the foundation for its future growth and development.</w:t>
      </w:r>
    </w:p>
    <w:p w14:paraId="5C147876" w14:textId="1AA9D526" w:rsidR="00A805EC" w:rsidRPr="00C1488A" w:rsidRDefault="00A805EC" w:rsidP="00D82C63">
      <w:pPr>
        <w:spacing w:line="276" w:lineRule="auto"/>
        <w:ind w:left="-5"/>
        <w:jc w:val="both"/>
        <w:rPr>
          <w:rFonts w:ascii="Times New Roman" w:hAnsi="Times New Roman" w:cs="Times New Roman"/>
          <w:sz w:val="20"/>
          <w:szCs w:val="20"/>
        </w:rPr>
      </w:pPr>
      <w:r w:rsidRPr="00C1488A">
        <w:rPr>
          <w:rFonts w:ascii="Times New Roman" w:hAnsi="Times New Roman" w:cs="Times New Roman"/>
          <w:sz w:val="20"/>
          <w:szCs w:val="20"/>
        </w:rPr>
        <w:t xml:space="preserve">The </w:t>
      </w:r>
      <w:r w:rsidRPr="00D82C63">
        <w:rPr>
          <w:rFonts w:ascii="Times New Roman" w:hAnsi="Times New Roman" w:cs="Times New Roman"/>
          <w:sz w:val="20"/>
          <w:szCs w:val="20"/>
        </w:rPr>
        <w:t>New York State Public Authorities Control Board</w:t>
      </w:r>
      <w:r w:rsidRPr="00C1488A">
        <w:rPr>
          <w:rFonts w:ascii="Times New Roman" w:hAnsi="Times New Roman" w:cs="Times New Roman"/>
          <w:sz w:val="20"/>
          <w:szCs w:val="20"/>
        </w:rPr>
        <w:t xml:space="preserve"> was created in 1976 to provide oversight for some of the </w:t>
      </w:r>
      <w:r w:rsidR="00D82C63">
        <w:rPr>
          <w:rFonts w:ascii="Times New Roman" w:hAnsi="Times New Roman" w:cs="Times New Roman"/>
          <w:sz w:val="20"/>
          <w:szCs w:val="20"/>
        </w:rPr>
        <w:t>S</w:t>
      </w:r>
      <w:r w:rsidRPr="00C1488A">
        <w:rPr>
          <w:rFonts w:ascii="Times New Roman" w:hAnsi="Times New Roman" w:cs="Times New Roman"/>
          <w:sz w:val="20"/>
          <w:szCs w:val="20"/>
        </w:rPr>
        <w:t>tate's most powerful authorities. Sections 50 and 51 of the Public Authorities Law currently require 11 authorities to receive approval from the PACB prior to entering into contracts for project-related financing. There are five members on the PACB board, all of whom are appointed by the governor and serve year-long terms</w:t>
      </w:r>
      <w:r>
        <w:rPr>
          <w:rFonts w:ascii="Times New Roman" w:hAnsi="Times New Roman" w:cs="Times New Roman"/>
          <w:sz w:val="20"/>
          <w:szCs w:val="20"/>
        </w:rPr>
        <w:t>.</w:t>
      </w:r>
      <w:r w:rsidR="00D82C63">
        <w:rPr>
          <w:rFonts w:ascii="Times New Roman" w:hAnsi="Times New Roman" w:cs="Times New Roman"/>
          <w:sz w:val="20"/>
          <w:szCs w:val="20"/>
        </w:rPr>
        <w:t xml:space="preserve"> </w:t>
      </w:r>
      <w:r w:rsidRPr="00D82C63">
        <w:rPr>
          <w:rFonts w:ascii="Times New Roman" w:hAnsi="Times New Roman" w:cs="Times New Roman"/>
          <w:b/>
          <w:bCs/>
          <w:sz w:val="20"/>
          <w:szCs w:val="20"/>
        </w:rPr>
        <w:t>Public authorities are currently responsible for more than 90% of the state's debt and 80% of the state's infrastructure, leading some to refer to them as the</w:t>
      </w:r>
      <w:r w:rsidRPr="00C1488A">
        <w:rPr>
          <w:rFonts w:ascii="Times New Roman" w:hAnsi="Times New Roman" w:cs="Times New Roman"/>
          <w:sz w:val="20"/>
          <w:szCs w:val="20"/>
        </w:rPr>
        <w:t xml:space="preserve"> "</w:t>
      </w:r>
      <w:r w:rsidRPr="00D82C63">
        <w:rPr>
          <w:rFonts w:ascii="Times New Roman" w:hAnsi="Times New Roman" w:cs="Times New Roman"/>
          <w:b/>
          <w:bCs/>
          <w:sz w:val="20"/>
          <w:szCs w:val="20"/>
          <w:u w:val="single"/>
        </w:rPr>
        <w:t>shadow government</w:t>
      </w:r>
      <w:r w:rsidRPr="00C1488A">
        <w:rPr>
          <w:rFonts w:ascii="Times New Roman" w:hAnsi="Times New Roman" w:cs="Times New Roman"/>
          <w:sz w:val="20"/>
          <w:szCs w:val="20"/>
        </w:rPr>
        <w:t>".</w:t>
      </w:r>
    </w:p>
    <w:p w14:paraId="1D8D042D" w14:textId="676934D2" w:rsidR="00410D16" w:rsidRPr="007D376C" w:rsidRDefault="007D376C" w:rsidP="007D376C">
      <w:pPr>
        <w:pStyle w:val="ListParagraph"/>
        <w:jc w:val="both"/>
        <w:rPr>
          <w:rFonts w:ascii="Times New Roman" w:hAnsi="Times New Roman" w:cs="Times New Roman"/>
          <w:sz w:val="20"/>
          <w:szCs w:val="20"/>
        </w:rPr>
      </w:pPr>
      <w:r w:rsidRPr="007D376C">
        <w:rPr>
          <w:rFonts w:ascii="Times New Roman" w:hAnsi="Times New Roman" w:cs="Times New Roman"/>
          <w:sz w:val="20"/>
          <w:szCs w:val="20"/>
        </w:rPr>
        <w:t xml:space="preserve">Public benefit corporations in New York State have origins in </w:t>
      </w:r>
      <w:r w:rsidRPr="00D82C63">
        <w:rPr>
          <w:rFonts w:ascii="Times New Roman" w:hAnsi="Times New Roman" w:cs="Times New Roman"/>
          <w:sz w:val="20"/>
          <w:szCs w:val="20"/>
        </w:rPr>
        <w:t>mercantile capitalism</w:t>
      </w:r>
      <w:r w:rsidRPr="007D376C">
        <w:rPr>
          <w:rFonts w:ascii="Times New Roman" w:hAnsi="Times New Roman" w:cs="Times New Roman"/>
          <w:sz w:val="20"/>
          <w:szCs w:val="20"/>
        </w:rPr>
        <w:t xml:space="preserve">. A shared tradition of </w:t>
      </w:r>
      <w:r w:rsidRPr="007D376C">
        <w:rPr>
          <w:rFonts w:ascii="Times New Roman" w:hAnsi="Times New Roman" w:cs="Times New Roman"/>
          <w:b/>
          <w:bCs/>
          <w:sz w:val="20"/>
          <w:szCs w:val="20"/>
        </w:rPr>
        <w:t>English common law</w:t>
      </w:r>
      <w:r w:rsidRPr="007D376C">
        <w:rPr>
          <w:rFonts w:ascii="Times New Roman" w:hAnsi="Times New Roman" w:cs="Times New Roman"/>
          <w:sz w:val="20"/>
          <w:szCs w:val="20"/>
        </w:rPr>
        <w:t xml:space="preserve"> and </w:t>
      </w:r>
      <w:r w:rsidRPr="007D376C">
        <w:rPr>
          <w:rFonts w:ascii="Times New Roman" w:hAnsi="Times New Roman" w:cs="Times New Roman"/>
          <w:b/>
          <w:bCs/>
          <w:sz w:val="20"/>
          <w:szCs w:val="20"/>
        </w:rPr>
        <w:t>Dutch law</w:t>
      </w:r>
      <w:r w:rsidRPr="007D376C">
        <w:rPr>
          <w:rFonts w:ascii="Times New Roman" w:hAnsi="Times New Roman" w:cs="Times New Roman"/>
          <w:sz w:val="20"/>
          <w:szCs w:val="20"/>
        </w:rPr>
        <w:t xml:space="preserve"> may explain their origins.</w:t>
      </w:r>
      <w:r>
        <w:rPr>
          <w:rFonts w:ascii="Times New Roman" w:hAnsi="Times New Roman" w:cs="Times New Roman"/>
          <w:sz w:val="20"/>
          <w:szCs w:val="20"/>
        </w:rPr>
        <w:t xml:space="preserve"> </w:t>
      </w:r>
      <w:r w:rsidR="00410D16" w:rsidRPr="007D376C">
        <w:rPr>
          <w:rFonts w:ascii="Times New Roman" w:hAnsi="Times New Roman" w:cs="Times New Roman"/>
          <w:sz w:val="20"/>
          <w:szCs w:val="20"/>
        </w:rPr>
        <w:t xml:space="preserve">Of special importance and significance, is the FACT that they can issue their own debt, which enables them to bypass limits on state-funded debt mandated in the New York State Constitution. </w:t>
      </w:r>
    </w:p>
    <w:p w14:paraId="701F4BAF" w14:textId="46DD0861" w:rsidR="00A805EC" w:rsidRPr="00C1488A" w:rsidRDefault="00A805EC" w:rsidP="00A805EC">
      <w:pPr>
        <w:rPr>
          <w:rFonts w:ascii="Times New Roman" w:hAnsi="Times New Roman" w:cs="Times New Roman"/>
          <w:sz w:val="20"/>
          <w:szCs w:val="20"/>
        </w:rPr>
      </w:pPr>
      <w:r w:rsidRPr="00C1488A">
        <w:rPr>
          <w:rFonts w:ascii="Times New Roman" w:hAnsi="Times New Roman" w:cs="Times New Roman"/>
          <w:sz w:val="20"/>
          <w:szCs w:val="20"/>
        </w:rPr>
        <w:t>Public benefit corporations and public authorities are controlled by boards of directors made up of political appointees. Board members have fixed terms and are, at least in theory, considered to be more independent of political influence than elected politicians and appointed agency heads.</w:t>
      </w:r>
      <w:r w:rsidR="00DE4D0B" w:rsidRPr="00C1488A">
        <w:rPr>
          <w:rFonts w:ascii="Times New Roman" w:hAnsi="Times New Roman" w:cs="Times New Roman"/>
          <w:sz w:val="20"/>
          <w:szCs w:val="20"/>
        </w:rPr>
        <w:t xml:space="preserve"> </w:t>
      </w:r>
    </w:p>
    <w:p w14:paraId="12943ED7" w14:textId="62107802" w:rsidR="00A805EC" w:rsidRDefault="00A805EC" w:rsidP="00A805EC">
      <w:pPr>
        <w:spacing w:line="276" w:lineRule="auto"/>
        <w:ind w:left="-5"/>
        <w:jc w:val="both"/>
        <w:rPr>
          <w:rFonts w:ascii="Times New Roman" w:hAnsi="Times New Roman" w:cs="Times New Roman"/>
          <w:sz w:val="20"/>
          <w:szCs w:val="20"/>
        </w:rPr>
      </w:pPr>
      <w:r w:rsidRPr="00C1488A">
        <w:rPr>
          <w:rFonts w:ascii="Times New Roman" w:hAnsi="Times New Roman" w:cs="Times New Roman"/>
          <w:sz w:val="20"/>
          <w:szCs w:val="20"/>
        </w:rPr>
        <w:t xml:space="preserve">Board members and employees of public authorities usually are not considered to be state </w:t>
      </w:r>
      <w:proofErr w:type="gramStart"/>
      <w:r w:rsidRPr="00C1488A">
        <w:rPr>
          <w:rFonts w:ascii="Times New Roman" w:hAnsi="Times New Roman" w:cs="Times New Roman"/>
          <w:sz w:val="20"/>
          <w:szCs w:val="20"/>
        </w:rPr>
        <w:t>employees, but</w:t>
      </w:r>
      <w:proofErr w:type="gramEnd"/>
      <w:r w:rsidRPr="00C1488A">
        <w:rPr>
          <w:rFonts w:ascii="Times New Roman" w:hAnsi="Times New Roman" w:cs="Times New Roman"/>
          <w:sz w:val="20"/>
          <w:szCs w:val="20"/>
        </w:rPr>
        <w:t xml:space="preserve"> are rather employees of the authority. </w:t>
      </w:r>
      <w:r w:rsidRPr="00C1488A">
        <w:rPr>
          <w:rFonts w:ascii="Times New Roman" w:hAnsi="Times New Roman" w:cs="Times New Roman"/>
          <w:i/>
          <w:iCs/>
          <w:sz w:val="20"/>
          <w:szCs w:val="20"/>
        </w:rPr>
        <w:t>Ciulla v. State</w:t>
      </w:r>
      <w:r w:rsidRPr="00C1488A">
        <w:rPr>
          <w:rFonts w:ascii="Times New Roman" w:hAnsi="Times New Roman" w:cs="Times New Roman"/>
          <w:sz w:val="20"/>
          <w:szCs w:val="20"/>
        </w:rPr>
        <w:t>, 77 N.Y.S.2d 545 (N.Y. Ct. Cl. 1948). However, public authority employees are covered by the ethics regulations included in section 74 of the Public Officers Law, and the Public Authorities Accountability Act of 2005 imposed additional ethics requirements on board members of some public authorities. Authority board members are required to attend training sessions on ethics and governance issues</w:t>
      </w:r>
      <w:r>
        <w:rPr>
          <w:rFonts w:ascii="Times New Roman" w:hAnsi="Times New Roman" w:cs="Times New Roman"/>
          <w:sz w:val="20"/>
          <w:szCs w:val="20"/>
        </w:rPr>
        <w:t>.</w:t>
      </w:r>
    </w:p>
    <w:p w14:paraId="4FA8A894" w14:textId="37CED208" w:rsidR="00D82C63" w:rsidRPr="00C1488A" w:rsidRDefault="00D82C63" w:rsidP="00D82C63">
      <w:pPr>
        <w:jc w:val="both"/>
        <w:rPr>
          <w:rFonts w:ascii="Times New Roman" w:hAnsi="Times New Roman" w:cs="Times New Roman"/>
          <w:sz w:val="20"/>
          <w:szCs w:val="20"/>
        </w:rPr>
      </w:pPr>
      <w:r w:rsidRPr="00C1488A">
        <w:rPr>
          <w:rFonts w:ascii="Times New Roman" w:hAnsi="Times New Roman" w:cs="Times New Roman"/>
          <w:sz w:val="20"/>
          <w:szCs w:val="20"/>
        </w:rPr>
        <w:t xml:space="preserve">The Public Authorities Accountability Act of 2005 created the Authority Budget Office in order "to provide the </w:t>
      </w:r>
      <w:r w:rsidR="00DE4D0B">
        <w:rPr>
          <w:rFonts w:ascii="Times New Roman" w:hAnsi="Times New Roman" w:cs="Times New Roman"/>
          <w:sz w:val="20"/>
          <w:szCs w:val="20"/>
        </w:rPr>
        <w:t xml:space="preserve">U.S. </w:t>
      </w:r>
      <w:r w:rsidRPr="00C1488A">
        <w:rPr>
          <w:rFonts w:ascii="Times New Roman" w:hAnsi="Times New Roman" w:cs="Times New Roman"/>
          <w:sz w:val="20"/>
          <w:szCs w:val="20"/>
        </w:rPr>
        <w:t>governor and the</w:t>
      </w:r>
      <w:r w:rsidR="00DE4D0B">
        <w:rPr>
          <w:rFonts w:ascii="Times New Roman" w:hAnsi="Times New Roman" w:cs="Times New Roman"/>
          <w:sz w:val="20"/>
          <w:szCs w:val="20"/>
        </w:rPr>
        <w:t xml:space="preserve"> U.S. state</w:t>
      </w:r>
      <w:r w:rsidRPr="00C1488A">
        <w:rPr>
          <w:rFonts w:ascii="Times New Roman" w:hAnsi="Times New Roman" w:cs="Times New Roman"/>
          <w:sz w:val="20"/>
          <w:szCs w:val="20"/>
        </w:rPr>
        <w:t xml:space="preserve"> legislator with conclusions and opinions concerning the performance of public authorities and to study, review and report on the operations, practices and finances of public authorities...." The ABO is intended to promote transparency and accountability and to improve authority governance</w:t>
      </w:r>
      <w:r>
        <w:rPr>
          <w:rFonts w:ascii="Times New Roman" w:hAnsi="Times New Roman" w:cs="Times New Roman"/>
          <w:sz w:val="20"/>
          <w:szCs w:val="20"/>
        </w:rPr>
        <w:t>.</w:t>
      </w:r>
    </w:p>
    <w:p w14:paraId="2FAC6F2B" w14:textId="4FE48388" w:rsidR="00A805EC" w:rsidRPr="00C1488A" w:rsidRDefault="00A805EC" w:rsidP="00D82C63">
      <w:pPr>
        <w:jc w:val="both"/>
        <w:rPr>
          <w:rFonts w:ascii="Times New Roman" w:hAnsi="Times New Roman" w:cs="Times New Roman"/>
          <w:sz w:val="20"/>
          <w:szCs w:val="20"/>
        </w:rPr>
      </w:pPr>
      <w:r w:rsidRPr="00C1488A">
        <w:rPr>
          <w:rFonts w:ascii="Times New Roman" w:hAnsi="Times New Roman" w:cs="Times New Roman"/>
          <w:b/>
          <w:bCs/>
          <w:sz w:val="20"/>
          <w:szCs w:val="20"/>
        </w:rPr>
        <w:t>Types of public authorities</w:t>
      </w:r>
      <w:r w:rsidR="00DE4D0B">
        <w:rPr>
          <w:rFonts w:ascii="Times New Roman" w:hAnsi="Times New Roman" w:cs="Times New Roman"/>
          <w:b/>
          <w:bCs/>
          <w:sz w:val="20"/>
          <w:szCs w:val="20"/>
        </w:rPr>
        <w:t xml:space="preserve">: </w:t>
      </w:r>
      <w:r w:rsidRPr="00C1488A">
        <w:rPr>
          <w:rFonts w:ascii="Times New Roman" w:hAnsi="Times New Roman" w:cs="Times New Roman"/>
          <w:sz w:val="20"/>
          <w:szCs w:val="20"/>
        </w:rPr>
        <w:t>The New York State Comptroller's Office lists four types of public benefit corporations and authorities:</w:t>
      </w:r>
    </w:p>
    <w:p w14:paraId="05318DC1" w14:textId="0C96DBB1"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 xml:space="preserve">Class A — these authorities and public benefit corporations have </w:t>
      </w:r>
      <w:r w:rsidRPr="00DE4D0B">
        <w:rPr>
          <w:rFonts w:ascii="Times New Roman" w:hAnsi="Times New Roman" w:cs="Times New Roman"/>
          <w:b/>
          <w:bCs/>
          <w:i/>
          <w:iCs/>
          <w:sz w:val="20"/>
          <w:szCs w:val="20"/>
        </w:rPr>
        <w:t>regional</w:t>
      </w:r>
      <w:r w:rsidRPr="00C1488A">
        <w:rPr>
          <w:rFonts w:ascii="Times New Roman" w:hAnsi="Times New Roman" w:cs="Times New Roman"/>
          <w:sz w:val="20"/>
          <w:szCs w:val="20"/>
        </w:rPr>
        <w:t xml:space="preserve"> or </w:t>
      </w:r>
      <w:r w:rsidRPr="00DE4D0B">
        <w:rPr>
          <w:rFonts w:ascii="Times New Roman" w:hAnsi="Times New Roman" w:cs="Times New Roman"/>
          <w:b/>
          <w:bCs/>
          <w:i/>
          <w:iCs/>
          <w:sz w:val="20"/>
          <w:szCs w:val="20"/>
        </w:rPr>
        <w:t>statewide significance</w:t>
      </w:r>
      <w:r w:rsidR="00DE4D0B">
        <w:rPr>
          <w:rFonts w:ascii="Times New Roman" w:hAnsi="Times New Roman" w:cs="Times New Roman"/>
          <w:b/>
          <w:bCs/>
          <w:sz w:val="20"/>
          <w:szCs w:val="20"/>
        </w:rPr>
        <w:t>.</w:t>
      </w:r>
    </w:p>
    <w:p w14:paraId="5917E361" w14:textId="145823C3"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Class B — according to the Comptroller's office, these "[e]</w:t>
      </w:r>
      <w:proofErr w:type="spellStart"/>
      <w:r w:rsidRPr="00C1488A">
        <w:rPr>
          <w:rFonts w:ascii="Times New Roman" w:hAnsi="Times New Roman" w:cs="Times New Roman"/>
          <w:sz w:val="20"/>
          <w:szCs w:val="20"/>
        </w:rPr>
        <w:t>ntities</w:t>
      </w:r>
      <w:proofErr w:type="spellEnd"/>
      <w:r w:rsidRPr="00C1488A">
        <w:rPr>
          <w:rFonts w:ascii="Times New Roman" w:hAnsi="Times New Roman" w:cs="Times New Roman"/>
          <w:sz w:val="20"/>
          <w:szCs w:val="20"/>
        </w:rPr>
        <w:t xml:space="preserve"> affiliated [are] with a </w:t>
      </w:r>
      <w:proofErr w:type="gramStart"/>
      <w:r w:rsidRPr="00C1488A">
        <w:rPr>
          <w:rFonts w:ascii="Times New Roman" w:hAnsi="Times New Roman" w:cs="Times New Roman"/>
          <w:sz w:val="20"/>
          <w:szCs w:val="20"/>
        </w:rPr>
        <w:t>State</w:t>
      </w:r>
      <w:proofErr w:type="gramEnd"/>
      <w:r w:rsidRPr="00C1488A">
        <w:rPr>
          <w:rFonts w:ascii="Times New Roman" w:hAnsi="Times New Roman" w:cs="Times New Roman"/>
          <w:sz w:val="20"/>
          <w:szCs w:val="20"/>
        </w:rPr>
        <w:t xml:space="preserve"> agency, or entities created by the State that have limited jurisdiction but a majority of Board appointments made by the Governor or other State officials; </w:t>
      </w:r>
      <w:r w:rsidRPr="00DE4D0B">
        <w:rPr>
          <w:rFonts w:ascii="Times New Roman" w:hAnsi="Times New Roman" w:cs="Times New Roman"/>
          <w:b/>
          <w:bCs/>
          <w:i/>
          <w:iCs/>
          <w:sz w:val="20"/>
          <w:szCs w:val="20"/>
        </w:rPr>
        <w:t>entities that would not exist but for their relationship with the State</w:t>
      </w:r>
      <w:r w:rsidRPr="00C1488A">
        <w:rPr>
          <w:rFonts w:ascii="Times New Roman" w:hAnsi="Times New Roman" w:cs="Times New Roman"/>
          <w:sz w:val="20"/>
          <w:szCs w:val="20"/>
        </w:rPr>
        <w:t>".</w:t>
      </w:r>
    </w:p>
    <w:p w14:paraId="047AD7E9" w14:textId="77777777"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 xml:space="preserve">Class C — these public authorities have </w:t>
      </w:r>
      <w:r w:rsidRPr="00DE4D0B">
        <w:rPr>
          <w:rFonts w:ascii="Times New Roman" w:hAnsi="Times New Roman" w:cs="Times New Roman"/>
          <w:b/>
          <w:bCs/>
          <w:i/>
          <w:iCs/>
          <w:sz w:val="20"/>
          <w:szCs w:val="20"/>
        </w:rPr>
        <w:t>local application</w:t>
      </w:r>
      <w:r w:rsidRPr="00C1488A">
        <w:rPr>
          <w:rFonts w:ascii="Times New Roman" w:hAnsi="Times New Roman" w:cs="Times New Roman"/>
          <w:sz w:val="20"/>
          <w:szCs w:val="20"/>
        </w:rPr>
        <w:t>.</w:t>
      </w:r>
    </w:p>
    <w:p w14:paraId="77B9A6AF" w14:textId="77777777"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 xml:space="preserve">Class D — these authorities and public benefit corporations have </w:t>
      </w:r>
      <w:r w:rsidRPr="00DE4D0B">
        <w:rPr>
          <w:rFonts w:ascii="Times New Roman" w:hAnsi="Times New Roman" w:cs="Times New Roman"/>
          <w:b/>
          <w:bCs/>
          <w:i/>
          <w:iCs/>
          <w:sz w:val="20"/>
          <w:szCs w:val="20"/>
        </w:rPr>
        <w:t>interstate or international jurisdiction</w:t>
      </w:r>
      <w:r w:rsidRPr="00C1488A">
        <w:rPr>
          <w:rFonts w:ascii="Times New Roman" w:hAnsi="Times New Roman" w:cs="Times New Roman"/>
          <w:sz w:val="20"/>
          <w:szCs w:val="20"/>
        </w:rPr>
        <w:t>.</w:t>
      </w:r>
    </w:p>
    <w:p w14:paraId="0B8BD84C" w14:textId="1F520FCD" w:rsidR="00410D16" w:rsidRDefault="00410D16" w:rsidP="00FD0CEA">
      <w:pPr>
        <w:spacing w:line="276" w:lineRule="auto"/>
        <w:ind w:left="-5"/>
        <w:jc w:val="both"/>
        <w:rPr>
          <w:rFonts w:ascii="Times New Roman" w:hAnsi="Times New Roman" w:cs="Times New Roman"/>
          <w:b/>
          <w:bCs/>
          <w:sz w:val="20"/>
          <w:szCs w:val="20"/>
          <w:u w:val="single"/>
        </w:rPr>
      </w:pPr>
      <w:r w:rsidRPr="00C1488A">
        <w:rPr>
          <w:rFonts w:ascii="Times New Roman" w:hAnsi="Times New Roman" w:cs="Times New Roman"/>
          <w:sz w:val="20"/>
          <w:szCs w:val="20"/>
        </w:rPr>
        <w:t>Th</w:t>
      </w:r>
      <w:r w:rsidR="00DE4D0B">
        <w:rPr>
          <w:rFonts w:ascii="Times New Roman" w:hAnsi="Times New Roman" w:cs="Times New Roman"/>
          <w:sz w:val="20"/>
          <w:szCs w:val="20"/>
        </w:rPr>
        <w:t>e</w:t>
      </w:r>
      <w:r>
        <w:rPr>
          <w:rFonts w:ascii="Times New Roman" w:hAnsi="Times New Roman" w:cs="Times New Roman"/>
          <w:sz w:val="20"/>
          <w:szCs w:val="20"/>
        </w:rPr>
        <w:t xml:space="preserve"> </w:t>
      </w:r>
      <w:r w:rsidRPr="00DE4D0B">
        <w:rPr>
          <w:rFonts w:ascii="Times New Roman" w:hAnsi="Times New Roman" w:cs="Times New Roman"/>
          <w:b/>
          <w:bCs/>
          <w:sz w:val="20"/>
          <w:szCs w:val="20"/>
        </w:rPr>
        <w:t>administrative loophole</w:t>
      </w:r>
      <w:r w:rsidRPr="00C1488A">
        <w:rPr>
          <w:rFonts w:ascii="Times New Roman" w:hAnsi="Times New Roman" w:cs="Times New Roman"/>
          <w:sz w:val="20"/>
          <w:szCs w:val="20"/>
        </w:rPr>
        <w:t xml:space="preserve"> </w:t>
      </w:r>
      <w:r w:rsidR="00DE4D0B">
        <w:rPr>
          <w:rFonts w:ascii="Times New Roman" w:hAnsi="Times New Roman" w:cs="Times New Roman"/>
          <w:sz w:val="20"/>
          <w:szCs w:val="20"/>
        </w:rPr>
        <w:t xml:space="preserve">granted to </w:t>
      </w:r>
      <w:r w:rsidR="00DE4D0B" w:rsidRPr="00C1488A">
        <w:rPr>
          <w:rFonts w:ascii="Times New Roman" w:hAnsi="Times New Roman" w:cs="Times New Roman"/>
          <w:sz w:val="20"/>
          <w:szCs w:val="20"/>
        </w:rPr>
        <w:t xml:space="preserve">public benefit corporations </w:t>
      </w:r>
      <w:r w:rsidRPr="00C1488A">
        <w:rPr>
          <w:rFonts w:ascii="Times New Roman" w:hAnsi="Times New Roman" w:cs="Times New Roman"/>
          <w:sz w:val="20"/>
          <w:szCs w:val="20"/>
        </w:rPr>
        <w:t xml:space="preserve">allows public authorities to make potentially risky capital and infrastructure investments without directly </w:t>
      </w:r>
      <w:r>
        <w:rPr>
          <w:rFonts w:ascii="Times New Roman" w:hAnsi="Times New Roman" w:cs="Times New Roman"/>
          <w:sz w:val="20"/>
          <w:szCs w:val="20"/>
        </w:rPr>
        <w:t>endangering</w:t>
      </w:r>
      <w:r w:rsidRPr="00C1488A">
        <w:rPr>
          <w:rFonts w:ascii="Times New Roman" w:hAnsi="Times New Roman" w:cs="Times New Roman"/>
          <w:sz w:val="20"/>
          <w:szCs w:val="20"/>
        </w:rPr>
        <w:t xml:space="preserve"> the credit of </w:t>
      </w:r>
      <w:r w:rsidRPr="00410D16">
        <w:rPr>
          <w:rFonts w:ascii="Times New Roman" w:hAnsi="Times New Roman" w:cs="Times New Roman"/>
          <w:sz w:val="20"/>
          <w:szCs w:val="20"/>
        </w:rPr>
        <w:t>New York State</w:t>
      </w:r>
      <w:r w:rsidRPr="00C1488A">
        <w:rPr>
          <w:rFonts w:ascii="Times New Roman" w:hAnsi="Times New Roman" w:cs="Times New Roman"/>
          <w:sz w:val="20"/>
          <w:szCs w:val="20"/>
        </w:rPr>
        <w:t xml:space="preserve"> or its municipalities. </w:t>
      </w:r>
      <w:r>
        <w:rPr>
          <w:rFonts w:ascii="Times New Roman" w:hAnsi="Times New Roman" w:cs="Times New Roman"/>
          <w:sz w:val="20"/>
          <w:szCs w:val="20"/>
        </w:rPr>
        <w:t>Consequently</w:t>
      </w:r>
      <w:r w:rsidRPr="00C1488A">
        <w:rPr>
          <w:rFonts w:ascii="Times New Roman" w:hAnsi="Times New Roman" w:cs="Times New Roman"/>
          <w:sz w:val="20"/>
          <w:szCs w:val="20"/>
        </w:rPr>
        <w:t xml:space="preserve">, public authorities have become </w:t>
      </w:r>
      <w:r>
        <w:rPr>
          <w:rFonts w:ascii="Times New Roman" w:hAnsi="Times New Roman" w:cs="Times New Roman"/>
          <w:sz w:val="20"/>
          <w:szCs w:val="20"/>
        </w:rPr>
        <w:t xml:space="preserve">a </w:t>
      </w:r>
      <w:r w:rsidRPr="00C1488A">
        <w:rPr>
          <w:rFonts w:ascii="Times New Roman" w:hAnsi="Times New Roman" w:cs="Times New Roman"/>
          <w:sz w:val="20"/>
          <w:szCs w:val="20"/>
        </w:rPr>
        <w:t xml:space="preserve">widely used </w:t>
      </w:r>
      <w:r>
        <w:rPr>
          <w:rFonts w:ascii="Times New Roman" w:hAnsi="Times New Roman" w:cs="Times New Roman"/>
          <w:sz w:val="20"/>
          <w:szCs w:val="20"/>
        </w:rPr>
        <w:t xml:space="preserve">commercial vehicle </w:t>
      </w:r>
      <w:r w:rsidRPr="00C1488A">
        <w:rPr>
          <w:rFonts w:ascii="Times New Roman" w:hAnsi="Times New Roman" w:cs="Times New Roman"/>
          <w:sz w:val="20"/>
          <w:szCs w:val="20"/>
        </w:rPr>
        <w:t>for financing public works</w:t>
      </w:r>
      <w:r>
        <w:rPr>
          <w:rFonts w:ascii="Times New Roman" w:hAnsi="Times New Roman" w:cs="Times New Roman"/>
          <w:sz w:val="20"/>
          <w:szCs w:val="20"/>
        </w:rPr>
        <w:t>, with</w:t>
      </w:r>
      <w:r w:rsidRPr="00C1488A">
        <w:rPr>
          <w:rFonts w:ascii="Times New Roman" w:hAnsi="Times New Roman" w:cs="Times New Roman"/>
          <w:sz w:val="20"/>
          <w:szCs w:val="20"/>
        </w:rPr>
        <w:t xml:space="preserve"> more than 95 percent </w:t>
      </w:r>
      <w:r>
        <w:rPr>
          <w:rFonts w:ascii="Times New Roman" w:hAnsi="Times New Roman" w:cs="Times New Roman"/>
          <w:sz w:val="20"/>
          <w:szCs w:val="20"/>
        </w:rPr>
        <w:t xml:space="preserve">(95%) </w:t>
      </w:r>
      <w:r w:rsidRPr="00C1488A">
        <w:rPr>
          <w:rFonts w:ascii="Times New Roman" w:hAnsi="Times New Roman" w:cs="Times New Roman"/>
          <w:sz w:val="20"/>
          <w:szCs w:val="20"/>
        </w:rPr>
        <w:t xml:space="preserve">of all state-funded debt outstanding in </w:t>
      </w:r>
      <w:r>
        <w:rPr>
          <w:rFonts w:ascii="Times New Roman" w:hAnsi="Times New Roman" w:cs="Times New Roman"/>
          <w:sz w:val="20"/>
          <w:szCs w:val="20"/>
        </w:rPr>
        <w:t xml:space="preserve">the U.S. state of </w:t>
      </w:r>
      <w:r w:rsidRPr="00C1488A">
        <w:rPr>
          <w:rFonts w:ascii="Times New Roman" w:hAnsi="Times New Roman" w:cs="Times New Roman"/>
          <w:sz w:val="20"/>
          <w:szCs w:val="20"/>
        </w:rPr>
        <w:t xml:space="preserve">New York </w:t>
      </w:r>
      <w:r>
        <w:rPr>
          <w:rFonts w:ascii="Times New Roman" w:hAnsi="Times New Roman" w:cs="Times New Roman"/>
          <w:sz w:val="20"/>
          <w:szCs w:val="20"/>
        </w:rPr>
        <w:t>being</w:t>
      </w:r>
      <w:r w:rsidRPr="00C1488A">
        <w:rPr>
          <w:rFonts w:ascii="Times New Roman" w:hAnsi="Times New Roman" w:cs="Times New Roman"/>
          <w:sz w:val="20"/>
          <w:szCs w:val="20"/>
        </w:rPr>
        <w:t xml:space="preserve"> issued by </w:t>
      </w:r>
      <w:r>
        <w:rPr>
          <w:rFonts w:ascii="Times New Roman" w:hAnsi="Times New Roman" w:cs="Times New Roman"/>
          <w:sz w:val="20"/>
          <w:szCs w:val="20"/>
        </w:rPr>
        <w:t>“</w:t>
      </w:r>
      <w:r w:rsidRPr="00C1488A">
        <w:rPr>
          <w:rFonts w:ascii="Times New Roman" w:hAnsi="Times New Roman" w:cs="Times New Roman"/>
          <w:sz w:val="20"/>
          <w:szCs w:val="20"/>
        </w:rPr>
        <w:t>public authorities</w:t>
      </w:r>
      <w:r>
        <w:rPr>
          <w:rFonts w:ascii="Times New Roman" w:hAnsi="Times New Roman" w:cs="Times New Roman"/>
          <w:sz w:val="20"/>
          <w:szCs w:val="20"/>
        </w:rPr>
        <w:t>”,</w:t>
      </w:r>
      <w:r w:rsidRPr="00C1488A">
        <w:rPr>
          <w:rFonts w:ascii="Times New Roman" w:hAnsi="Times New Roman" w:cs="Times New Roman"/>
          <w:sz w:val="20"/>
          <w:szCs w:val="20"/>
        </w:rPr>
        <w:t xml:space="preserve"> </w:t>
      </w:r>
      <w:r w:rsidRPr="00410D16">
        <w:rPr>
          <w:rFonts w:ascii="Times New Roman" w:hAnsi="Times New Roman" w:cs="Times New Roman"/>
          <w:b/>
          <w:bCs/>
          <w:sz w:val="20"/>
          <w:szCs w:val="20"/>
          <w:u w:val="single"/>
        </w:rPr>
        <w:t>without voter approval</w:t>
      </w:r>
      <w:r>
        <w:rPr>
          <w:rFonts w:ascii="Times New Roman" w:hAnsi="Times New Roman" w:cs="Times New Roman"/>
          <w:b/>
          <w:bCs/>
          <w:sz w:val="20"/>
          <w:szCs w:val="20"/>
          <w:u w:val="single"/>
        </w:rPr>
        <w:t>.</w:t>
      </w:r>
    </w:p>
    <w:p w14:paraId="0C18E650" w14:textId="60ADE5D8" w:rsidR="00A805EC" w:rsidRDefault="00A805EC" w:rsidP="00A805EC">
      <w:pPr>
        <w:pStyle w:val="ListParagraph"/>
        <w:spacing w:line="276" w:lineRule="auto"/>
        <w:jc w:val="both"/>
        <w:rPr>
          <w:rFonts w:ascii="Times New Roman" w:hAnsi="Times New Roman" w:cs="Times New Roman"/>
          <w:sz w:val="20"/>
          <w:szCs w:val="20"/>
        </w:rPr>
      </w:pPr>
      <w:r w:rsidRPr="00A805EC">
        <w:rPr>
          <w:rFonts w:ascii="Times New Roman" w:hAnsi="Times New Roman" w:cs="Times New Roman"/>
          <w:sz w:val="20"/>
          <w:szCs w:val="20"/>
        </w:rPr>
        <w:t xml:space="preserve">The New York Court of Appeals provided a thorough history of state laws regarding public authorities in the 1994 case </w:t>
      </w:r>
      <w:r w:rsidRPr="00A805EC">
        <w:rPr>
          <w:rFonts w:ascii="Times New Roman" w:hAnsi="Times New Roman" w:cs="Times New Roman"/>
          <w:i/>
          <w:iCs/>
          <w:sz w:val="20"/>
          <w:szCs w:val="20"/>
        </w:rPr>
        <w:t>Schulz v. State</w:t>
      </w:r>
      <w:r w:rsidRPr="00A805EC">
        <w:rPr>
          <w:rFonts w:ascii="Times New Roman" w:hAnsi="Times New Roman" w:cs="Times New Roman"/>
          <w:sz w:val="20"/>
          <w:szCs w:val="20"/>
        </w:rPr>
        <w:t xml:space="preserve">, 84 N.Y.2d 231. As the court explained, state debt limits were first enacted as a reaction to fiscal crises caused by the state's lending of its credit to "irresponsible" canal and railroad corporations in the early nineteenth century. The state was forced to assume these obligations, which amounted to more than three-fifths of the state's entire debt. In 1846, a referendum requirement was added to the state constitution, prohibiting the state from contracting long term debt </w:t>
      </w:r>
      <w:r w:rsidRPr="00A805EC">
        <w:rPr>
          <w:rFonts w:ascii="Times New Roman" w:hAnsi="Times New Roman" w:cs="Times New Roman"/>
          <w:b/>
          <w:bCs/>
          <w:sz w:val="20"/>
          <w:szCs w:val="20"/>
          <w:u w:val="single"/>
        </w:rPr>
        <w:t>without approval by the voters</w:t>
      </w:r>
      <w:r w:rsidRPr="00A805EC">
        <w:rPr>
          <w:rFonts w:ascii="Times New Roman" w:hAnsi="Times New Roman" w:cs="Times New Roman"/>
          <w:b/>
          <w:bCs/>
          <w:sz w:val="20"/>
          <w:szCs w:val="20"/>
        </w:rPr>
        <w:t xml:space="preserve">. </w:t>
      </w:r>
    </w:p>
    <w:p w14:paraId="478A1C74" w14:textId="5AD6E1D4" w:rsidR="00A805EC" w:rsidRDefault="00DE4D0B" w:rsidP="00A805EC">
      <w:pPr>
        <w:jc w:val="both"/>
        <w:rPr>
          <w:rFonts w:ascii="Times New Roman" w:hAnsi="Times New Roman" w:cs="Times New Roman"/>
          <w:sz w:val="20"/>
          <w:szCs w:val="20"/>
        </w:rPr>
      </w:pPr>
      <w:r>
        <w:rPr>
          <w:rFonts w:ascii="Times New Roman" w:hAnsi="Times New Roman" w:cs="Times New Roman"/>
          <w:sz w:val="20"/>
          <w:szCs w:val="20"/>
        </w:rPr>
        <w:t>New York State has a long history of attempting to bypass this limitation, and a</w:t>
      </w:r>
      <w:r w:rsidR="00A805EC" w:rsidRPr="00C1488A">
        <w:rPr>
          <w:rFonts w:ascii="Times New Roman" w:hAnsi="Times New Roman" w:cs="Times New Roman"/>
          <w:sz w:val="20"/>
          <w:szCs w:val="20"/>
        </w:rPr>
        <w:t xml:space="preserve">s early as 1851, the legislature began to search for ways to evade the constitutional debt limit </w:t>
      </w:r>
      <w:proofErr w:type="gramStart"/>
      <w:r w:rsidR="00A805EC" w:rsidRPr="00C1488A">
        <w:rPr>
          <w:rFonts w:ascii="Times New Roman" w:hAnsi="Times New Roman" w:cs="Times New Roman"/>
          <w:sz w:val="20"/>
          <w:szCs w:val="20"/>
        </w:rPr>
        <w:t>in order to</w:t>
      </w:r>
      <w:proofErr w:type="gramEnd"/>
      <w:r w:rsidR="00A805EC" w:rsidRPr="00C1488A">
        <w:rPr>
          <w:rFonts w:ascii="Times New Roman" w:hAnsi="Times New Roman" w:cs="Times New Roman"/>
          <w:sz w:val="20"/>
          <w:szCs w:val="20"/>
        </w:rPr>
        <w:t xml:space="preserve"> finance public works projects. Canal certificates, which would be repaid through canal revenues, and which by their terms were not state obligations, were nevertheless held to be unconstitutional in </w:t>
      </w:r>
      <w:r w:rsidR="00A805EC" w:rsidRPr="00C1488A">
        <w:rPr>
          <w:rFonts w:ascii="Times New Roman" w:hAnsi="Times New Roman" w:cs="Times New Roman"/>
          <w:i/>
          <w:iCs/>
          <w:sz w:val="20"/>
          <w:szCs w:val="20"/>
        </w:rPr>
        <w:t>Newell v. People</w:t>
      </w:r>
      <w:r w:rsidR="00A805EC" w:rsidRPr="00C1488A">
        <w:rPr>
          <w:rFonts w:ascii="Times New Roman" w:hAnsi="Times New Roman" w:cs="Times New Roman"/>
          <w:sz w:val="20"/>
          <w:szCs w:val="20"/>
        </w:rPr>
        <w:t>, 7 N.Y. 9 (1852). The court held that the state had a moral obligation to repay the debts if canal revenues proved insufficient, and thus the certificates were deemed "an evasion if not a direct violation of the constitution".</w:t>
      </w:r>
    </w:p>
    <w:p w14:paraId="5A1CAE14" w14:textId="162C87A5" w:rsidR="00A805EC" w:rsidRDefault="00A805EC" w:rsidP="00A805EC">
      <w:pPr>
        <w:jc w:val="both"/>
        <w:rPr>
          <w:rFonts w:ascii="Times New Roman" w:hAnsi="Times New Roman" w:cs="Times New Roman"/>
          <w:sz w:val="20"/>
          <w:szCs w:val="20"/>
        </w:rPr>
      </w:pPr>
      <w:r w:rsidRPr="00C1488A">
        <w:rPr>
          <w:rFonts w:ascii="Times New Roman" w:hAnsi="Times New Roman" w:cs="Times New Roman"/>
          <w:sz w:val="20"/>
          <w:szCs w:val="20"/>
        </w:rPr>
        <w:t xml:space="preserve">In 1921, the legislature chartered the first </w:t>
      </w:r>
      <w:r w:rsidR="00D82C63">
        <w:rPr>
          <w:rFonts w:ascii="Times New Roman" w:hAnsi="Times New Roman" w:cs="Times New Roman"/>
          <w:sz w:val="20"/>
          <w:szCs w:val="20"/>
        </w:rPr>
        <w:t>S</w:t>
      </w:r>
      <w:r w:rsidRPr="00C1488A">
        <w:rPr>
          <w:rFonts w:ascii="Times New Roman" w:hAnsi="Times New Roman" w:cs="Times New Roman"/>
          <w:sz w:val="20"/>
          <w:szCs w:val="20"/>
        </w:rPr>
        <w:t xml:space="preserve">tate public authority, the </w:t>
      </w:r>
      <w:r w:rsidRPr="00C3523C">
        <w:rPr>
          <w:rFonts w:ascii="Times New Roman" w:hAnsi="Times New Roman" w:cs="Times New Roman"/>
          <w:b/>
          <w:bCs/>
          <w:sz w:val="20"/>
          <w:szCs w:val="20"/>
        </w:rPr>
        <w:t>Port of New York Authority</w:t>
      </w:r>
      <w:r w:rsidRPr="00C1488A">
        <w:rPr>
          <w:rFonts w:ascii="Times New Roman" w:hAnsi="Times New Roman" w:cs="Times New Roman"/>
          <w:sz w:val="20"/>
          <w:szCs w:val="20"/>
        </w:rPr>
        <w:t xml:space="preserve">, as a new vehicle for financing public projects while insulating the state from long term debt obligations. In 1926, the Court of Appeals held in </w:t>
      </w:r>
      <w:proofErr w:type="spellStart"/>
      <w:r w:rsidRPr="00C1488A">
        <w:rPr>
          <w:rFonts w:ascii="Times New Roman" w:hAnsi="Times New Roman" w:cs="Times New Roman"/>
          <w:i/>
          <w:iCs/>
          <w:sz w:val="20"/>
          <w:szCs w:val="20"/>
        </w:rPr>
        <w:t>Williamsburgh</w:t>
      </w:r>
      <w:proofErr w:type="spellEnd"/>
      <w:r w:rsidRPr="00C1488A">
        <w:rPr>
          <w:rFonts w:ascii="Times New Roman" w:hAnsi="Times New Roman" w:cs="Times New Roman"/>
          <w:i/>
          <w:iCs/>
          <w:sz w:val="20"/>
          <w:szCs w:val="20"/>
        </w:rPr>
        <w:t xml:space="preserve"> Savings Bank v. State</w:t>
      </w:r>
      <w:r w:rsidRPr="00C1488A">
        <w:rPr>
          <w:rFonts w:ascii="Times New Roman" w:hAnsi="Times New Roman" w:cs="Times New Roman"/>
          <w:sz w:val="20"/>
          <w:szCs w:val="20"/>
        </w:rPr>
        <w:t>, 243 N.Y. 231 that the state could disclaim any moral obligation for public authority debts. However, amendments to the 1938 Constitution overruled this case and completely disclaimed the state's responsibility for any public authority debt</w:t>
      </w:r>
      <w:r>
        <w:rPr>
          <w:rFonts w:ascii="Times New Roman" w:hAnsi="Times New Roman" w:cs="Times New Roman"/>
          <w:sz w:val="20"/>
          <w:szCs w:val="20"/>
        </w:rPr>
        <w:t>.</w:t>
      </w:r>
    </w:p>
    <w:p w14:paraId="01E867A7" w14:textId="4BDD1123" w:rsidR="007C17B3" w:rsidRDefault="00A805EC" w:rsidP="00A805EC">
      <w:pPr>
        <w:jc w:val="both"/>
        <w:rPr>
          <w:rFonts w:ascii="Times New Roman" w:hAnsi="Times New Roman" w:cs="Times New Roman"/>
          <w:sz w:val="20"/>
          <w:szCs w:val="20"/>
        </w:rPr>
      </w:pPr>
      <w:r w:rsidRPr="00C1488A">
        <w:rPr>
          <w:rFonts w:ascii="Times New Roman" w:hAnsi="Times New Roman" w:cs="Times New Roman"/>
          <w:sz w:val="20"/>
          <w:szCs w:val="20"/>
        </w:rPr>
        <w:lastRenderedPageBreak/>
        <w:t xml:space="preserve">The widespread use of public authorities in New York State was pioneered by </w:t>
      </w:r>
      <w:r w:rsidRPr="00D82C63">
        <w:rPr>
          <w:rFonts w:ascii="Times New Roman" w:hAnsi="Times New Roman" w:cs="Times New Roman"/>
          <w:sz w:val="20"/>
          <w:szCs w:val="20"/>
        </w:rPr>
        <w:t>Robert Moses</w:t>
      </w:r>
      <w:r w:rsidRPr="00C1488A">
        <w:rPr>
          <w:rFonts w:ascii="Times New Roman" w:hAnsi="Times New Roman" w:cs="Times New Roman"/>
          <w:sz w:val="20"/>
          <w:szCs w:val="20"/>
        </w:rPr>
        <w:t xml:space="preserve"> in the 1930s and 40s. Much of Moses' power </w:t>
      </w:r>
      <w:proofErr w:type="gramStart"/>
      <w:r w:rsidRPr="00C1488A">
        <w:rPr>
          <w:rFonts w:ascii="Times New Roman" w:hAnsi="Times New Roman" w:cs="Times New Roman"/>
          <w:sz w:val="20"/>
          <w:szCs w:val="20"/>
        </w:rPr>
        <w:t>base resulted from</w:t>
      </w:r>
      <w:proofErr w:type="gramEnd"/>
      <w:r w:rsidRPr="00C1488A">
        <w:rPr>
          <w:rFonts w:ascii="Times New Roman" w:hAnsi="Times New Roman" w:cs="Times New Roman"/>
          <w:sz w:val="20"/>
          <w:szCs w:val="20"/>
        </w:rPr>
        <w:t xml:space="preserve"> his tight control of the </w:t>
      </w:r>
      <w:r w:rsidRPr="00D82C63">
        <w:rPr>
          <w:rFonts w:ascii="Times New Roman" w:hAnsi="Times New Roman" w:cs="Times New Roman"/>
          <w:sz w:val="20"/>
          <w:szCs w:val="20"/>
        </w:rPr>
        <w:t>Triborough Bridge Authority</w:t>
      </w:r>
      <w:r w:rsidRPr="00C1488A">
        <w:rPr>
          <w:rFonts w:ascii="Times New Roman" w:hAnsi="Times New Roman" w:cs="Times New Roman"/>
          <w:sz w:val="20"/>
          <w:szCs w:val="20"/>
        </w:rPr>
        <w:t xml:space="preserve">, which allowed him to earmark revenues from tolls on the bridge for other projects in New York City and around the state. He also served as president of the </w:t>
      </w:r>
      <w:r w:rsidRPr="00D82C63">
        <w:rPr>
          <w:rFonts w:ascii="Times New Roman" w:hAnsi="Times New Roman" w:cs="Times New Roman"/>
          <w:sz w:val="20"/>
          <w:szCs w:val="20"/>
        </w:rPr>
        <w:t>Jones Beach</w:t>
      </w:r>
      <w:r w:rsidRPr="00C1488A">
        <w:rPr>
          <w:rFonts w:ascii="Times New Roman" w:hAnsi="Times New Roman" w:cs="Times New Roman"/>
          <w:sz w:val="20"/>
          <w:szCs w:val="20"/>
        </w:rPr>
        <w:t xml:space="preserve"> Parkway Authority (1933–1963), president of the </w:t>
      </w:r>
      <w:r w:rsidRPr="00D82C63">
        <w:rPr>
          <w:rFonts w:ascii="Times New Roman" w:hAnsi="Times New Roman" w:cs="Times New Roman"/>
          <w:sz w:val="20"/>
          <w:szCs w:val="20"/>
        </w:rPr>
        <w:t>Bethpage State Park</w:t>
      </w:r>
      <w:r w:rsidRPr="00C1488A">
        <w:rPr>
          <w:rFonts w:ascii="Times New Roman" w:hAnsi="Times New Roman" w:cs="Times New Roman"/>
          <w:sz w:val="20"/>
          <w:szCs w:val="20"/>
        </w:rPr>
        <w:t xml:space="preserve"> Authority (1933–1963), and chairman of the </w:t>
      </w:r>
      <w:r w:rsidRPr="00D82C63">
        <w:rPr>
          <w:rFonts w:ascii="Times New Roman" w:hAnsi="Times New Roman" w:cs="Times New Roman"/>
          <w:sz w:val="20"/>
          <w:szCs w:val="20"/>
        </w:rPr>
        <w:t>New York Power Authority</w:t>
      </w:r>
      <w:r w:rsidRPr="00C1488A">
        <w:rPr>
          <w:rFonts w:ascii="Times New Roman" w:hAnsi="Times New Roman" w:cs="Times New Roman"/>
          <w:sz w:val="20"/>
          <w:szCs w:val="20"/>
        </w:rPr>
        <w:t xml:space="preserve"> (1954–1962). Moses, through his control of these authorities, was able to build some of New York's most important public works projects, including the </w:t>
      </w:r>
      <w:r w:rsidRPr="00D82C63">
        <w:rPr>
          <w:rFonts w:ascii="Times New Roman" w:hAnsi="Times New Roman" w:cs="Times New Roman"/>
          <w:sz w:val="20"/>
          <w:szCs w:val="20"/>
        </w:rPr>
        <w:t>Cross Bronx Expressway</w:t>
      </w:r>
      <w:r w:rsidRPr="00C1488A">
        <w:rPr>
          <w:rFonts w:ascii="Times New Roman" w:hAnsi="Times New Roman" w:cs="Times New Roman"/>
          <w:sz w:val="20"/>
          <w:szCs w:val="20"/>
        </w:rPr>
        <w:t xml:space="preserve">, the </w:t>
      </w:r>
      <w:r w:rsidRPr="00D82C63">
        <w:rPr>
          <w:rFonts w:ascii="Times New Roman" w:hAnsi="Times New Roman" w:cs="Times New Roman"/>
          <w:sz w:val="20"/>
          <w:szCs w:val="20"/>
        </w:rPr>
        <w:t>Brooklyn-Queens Expressway</w:t>
      </w:r>
      <w:r w:rsidRPr="00C1488A">
        <w:rPr>
          <w:rFonts w:ascii="Times New Roman" w:hAnsi="Times New Roman" w:cs="Times New Roman"/>
          <w:sz w:val="20"/>
          <w:szCs w:val="20"/>
        </w:rPr>
        <w:t xml:space="preserve">, and various bridges and parkways. </w:t>
      </w:r>
    </w:p>
    <w:p w14:paraId="33E4042F" w14:textId="0596B69D" w:rsidR="00A805EC" w:rsidRPr="007C17B3" w:rsidRDefault="00A805EC" w:rsidP="007C17B3">
      <w:pPr>
        <w:pStyle w:val="ListParagraph"/>
        <w:jc w:val="both"/>
        <w:rPr>
          <w:rFonts w:ascii="Times New Roman" w:hAnsi="Times New Roman" w:cs="Times New Roman"/>
          <w:sz w:val="20"/>
          <w:szCs w:val="20"/>
        </w:rPr>
      </w:pPr>
      <w:r w:rsidRPr="007C17B3">
        <w:rPr>
          <w:rFonts w:ascii="Times New Roman" w:hAnsi="Times New Roman" w:cs="Times New Roman"/>
          <w:sz w:val="20"/>
          <w:szCs w:val="20"/>
        </w:rPr>
        <w:t>The public authority model allowed Moses to bypass many of the legal restrictions placed on state agencies, allowing him to expedite development but also allowing him to hide project financing, contracting and operational information from public scrutiny. Because of this, he has been criticized for wasteful spending, patronage, and refusing to consider public opposition to his projects</w:t>
      </w:r>
    </w:p>
    <w:p w14:paraId="2EE2A2BE" w14:textId="272DA499" w:rsidR="00A805EC" w:rsidRPr="00D82C63" w:rsidRDefault="00A805EC" w:rsidP="00D82C63">
      <w:pPr>
        <w:jc w:val="both"/>
        <w:rPr>
          <w:rFonts w:ascii="Times New Roman" w:hAnsi="Times New Roman" w:cs="Times New Roman"/>
          <w:sz w:val="20"/>
          <w:szCs w:val="20"/>
        </w:rPr>
      </w:pPr>
      <w:r w:rsidRPr="00C1488A">
        <w:rPr>
          <w:rFonts w:ascii="Times New Roman" w:hAnsi="Times New Roman" w:cs="Times New Roman"/>
          <w:sz w:val="20"/>
          <w:szCs w:val="20"/>
        </w:rPr>
        <w:t xml:space="preserve">Some of the most </w:t>
      </w:r>
      <w:proofErr w:type="spellStart"/>
      <w:r w:rsidRPr="00C1488A">
        <w:rPr>
          <w:rFonts w:ascii="Times New Roman" w:hAnsi="Times New Roman" w:cs="Times New Roman"/>
          <w:sz w:val="20"/>
          <w:szCs w:val="20"/>
        </w:rPr>
        <w:t>well known</w:t>
      </w:r>
      <w:proofErr w:type="spellEnd"/>
      <w:r w:rsidRPr="00C1488A">
        <w:rPr>
          <w:rFonts w:ascii="Times New Roman" w:hAnsi="Times New Roman" w:cs="Times New Roman"/>
          <w:sz w:val="20"/>
          <w:szCs w:val="20"/>
        </w:rPr>
        <w:t xml:space="preserve"> major public benefit corporations in New York State include the </w:t>
      </w:r>
      <w:r w:rsidRPr="00D82C63">
        <w:rPr>
          <w:rFonts w:ascii="Times New Roman" w:hAnsi="Times New Roman" w:cs="Times New Roman"/>
          <w:sz w:val="20"/>
          <w:szCs w:val="20"/>
        </w:rPr>
        <w:t>Port Authority of New York and New Jersey</w:t>
      </w:r>
      <w:r w:rsidR="00D82C63">
        <w:rPr>
          <w:rFonts w:ascii="Times New Roman" w:hAnsi="Times New Roman" w:cs="Times New Roman"/>
          <w:sz w:val="20"/>
          <w:szCs w:val="20"/>
        </w:rPr>
        <w:t xml:space="preserve">, which </w:t>
      </w:r>
      <w:proofErr w:type="gramStart"/>
      <w:r w:rsidR="00D82C63">
        <w:rPr>
          <w:rFonts w:ascii="Times New Roman" w:hAnsi="Times New Roman" w:cs="Times New Roman"/>
          <w:sz w:val="20"/>
          <w:szCs w:val="20"/>
        </w:rPr>
        <w:t xml:space="preserve">in </w:t>
      </w:r>
      <w:r w:rsidRPr="00C1488A">
        <w:rPr>
          <w:rFonts w:ascii="Times New Roman" w:hAnsi="Times New Roman" w:cs="Times New Roman"/>
          <w:sz w:val="20"/>
          <w:szCs w:val="20"/>
        </w:rPr>
        <w:t>actual</w:t>
      </w:r>
      <w:r w:rsidR="00D82C63">
        <w:rPr>
          <w:rFonts w:ascii="Times New Roman" w:hAnsi="Times New Roman" w:cs="Times New Roman"/>
          <w:sz w:val="20"/>
          <w:szCs w:val="20"/>
        </w:rPr>
        <w:t>ity is</w:t>
      </w:r>
      <w:proofErr w:type="gramEnd"/>
      <w:r w:rsidRPr="00C1488A">
        <w:rPr>
          <w:rFonts w:ascii="Times New Roman" w:hAnsi="Times New Roman" w:cs="Times New Roman"/>
          <w:sz w:val="20"/>
          <w:szCs w:val="20"/>
        </w:rPr>
        <w:t xml:space="preserve"> a bi-state authority created by</w:t>
      </w:r>
      <w:r w:rsidR="00D82C63">
        <w:rPr>
          <w:rFonts w:ascii="Times New Roman" w:hAnsi="Times New Roman" w:cs="Times New Roman"/>
          <w:sz w:val="20"/>
          <w:szCs w:val="20"/>
        </w:rPr>
        <w:t xml:space="preserve"> an</w:t>
      </w:r>
      <w:r w:rsidRPr="00C1488A">
        <w:rPr>
          <w:rFonts w:ascii="Times New Roman" w:hAnsi="Times New Roman" w:cs="Times New Roman"/>
          <w:sz w:val="20"/>
          <w:szCs w:val="20"/>
        </w:rPr>
        <w:t xml:space="preserve"> </w:t>
      </w:r>
      <w:r w:rsidRPr="00D82C63">
        <w:rPr>
          <w:rFonts w:ascii="Times New Roman" w:hAnsi="Times New Roman" w:cs="Times New Roman"/>
          <w:sz w:val="20"/>
          <w:szCs w:val="20"/>
        </w:rPr>
        <w:t>interstate compact</w:t>
      </w:r>
      <w:r w:rsidRPr="00C1488A">
        <w:rPr>
          <w:rFonts w:ascii="Times New Roman" w:hAnsi="Times New Roman" w:cs="Times New Roman"/>
          <w:sz w:val="20"/>
          <w:szCs w:val="20"/>
        </w:rPr>
        <w:t xml:space="preserve">, the </w:t>
      </w:r>
      <w:r w:rsidRPr="00D82C63">
        <w:rPr>
          <w:rFonts w:ascii="Times New Roman" w:hAnsi="Times New Roman" w:cs="Times New Roman"/>
          <w:sz w:val="20"/>
          <w:szCs w:val="20"/>
        </w:rPr>
        <w:t>Metropolitan Transportation Authority</w:t>
      </w:r>
      <w:r w:rsidRPr="00C1488A">
        <w:rPr>
          <w:rFonts w:ascii="Times New Roman" w:hAnsi="Times New Roman" w:cs="Times New Roman"/>
          <w:sz w:val="20"/>
          <w:szCs w:val="20"/>
        </w:rPr>
        <w:t xml:space="preserve">, and the </w:t>
      </w:r>
      <w:r w:rsidRPr="00D82C63">
        <w:rPr>
          <w:rFonts w:ascii="Times New Roman" w:hAnsi="Times New Roman" w:cs="Times New Roman"/>
          <w:sz w:val="20"/>
          <w:szCs w:val="20"/>
        </w:rPr>
        <w:t>Empire State Development Corporation</w:t>
      </w:r>
      <w:r w:rsidRPr="00C1488A">
        <w:rPr>
          <w:rFonts w:ascii="Times New Roman" w:hAnsi="Times New Roman" w:cs="Times New Roman"/>
          <w:sz w:val="20"/>
          <w:szCs w:val="20"/>
        </w:rPr>
        <w:t>. New York has hundreds of lesser-known public benefit corporations, including industrial development agencies and local development corporations.</w:t>
      </w:r>
      <w:r w:rsidR="00D82C63" w:rsidRPr="00C1488A">
        <w:rPr>
          <w:rFonts w:ascii="Times New Roman" w:hAnsi="Times New Roman" w:cs="Times New Roman"/>
          <w:sz w:val="20"/>
          <w:szCs w:val="20"/>
        </w:rPr>
        <w:t xml:space="preserve"> </w:t>
      </w:r>
    </w:p>
    <w:p w14:paraId="42D238F3" w14:textId="22BC6CE9" w:rsidR="007D376C" w:rsidRDefault="002279A0" w:rsidP="00F12B00">
      <w:pPr>
        <w:pStyle w:val="NormalWeb"/>
        <w:shd w:val="clear" w:color="auto" w:fill="FFFFFF"/>
        <w:spacing w:before="120" w:after="0"/>
        <w:ind w:left="720"/>
        <w:rPr>
          <w:sz w:val="20"/>
          <w:szCs w:val="20"/>
        </w:rPr>
      </w:pPr>
      <w:r w:rsidRPr="00C1488A">
        <w:rPr>
          <w:sz w:val="20"/>
          <w:szCs w:val="20"/>
        </w:rPr>
        <w:t>Th</w:t>
      </w:r>
      <w:r>
        <w:rPr>
          <w:sz w:val="20"/>
          <w:szCs w:val="20"/>
        </w:rPr>
        <w:t>e continually</w:t>
      </w:r>
      <w:r w:rsidRPr="00C1488A">
        <w:rPr>
          <w:sz w:val="20"/>
          <w:szCs w:val="20"/>
        </w:rPr>
        <w:t xml:space="preserve"> </w:t>
      </w:r>
      <w:r>
        <w:rPr>
          <w:sz w:val="20"/>
          <w:szCs w:val="20"/>
        </w:rPr>
        <w:t xml:space="preserve">increasing </w:t>
      </w:r>
      <w:r w:rsidRPr="00C1488A">
        <w:rPr>
          <w:sz w:val="20"/>
          <w:szCs w:val="20"/>
        </w:rPr>
        <w:t xml:space="preserve">influence of public authorities over </w:t>
      </w:r>
      <w:r>
        <w:rPr>
          <w:sz w:val="20"/>
          <w:szCs w:val="20"/>
        </w:rPr>
        <w:t xml:space="preserve">U.S. </w:t>
      </w:r>
      <w:r w:rsidRPr="00C1488A">
        <w:rPr>
          <w:sz w:val="20"/>
          <w:szCs w:val="20"/>
        </w:rPr>
        <w:t xml:space="preserve">state and local financing, coupled with their ability to </w:t>
      </w:r>
      <w:r w:rsidRPr="002279A0">
        <w:rPr>
          <w:b/>
          <w:bCs/>
          <w:i/>
          <w:iCs/>
          <w:sz w:val="20"/>
          <w:szCs w:val="20"/>
        </w:rPr>
        <w:t>avoid regulations applicable to government agencies</w:t>
      </w:r>
      <w:r w:rsidRPr="00C1488A">
        <w:rPr>
          <w:sz w:val="20"/>
          <w:szCs w:val="20"/>
        </w:rPr>
        <w:t xml:space="preserve">, </w:t>
      </w:r>
      <w:r w:rsidR="00F12B00">
        <w:rPr>
          <w:sz w:val="20"/>
          <w:szCs w:val="20"/>
        </w:rPr>
        <w:t>necessitated</w:t>
      </w:r>
      <w:r>
        <w:rPr>
          <w:sz w:val="20"/>
          <w:szCs w:val="20"/>
        </w:rPr>
        <w:t xml:space="preserve"> further reform. </w:t>
      </w:r>
      <w:r w:rsidRPr="00C1488A">
        <w:rPr>
          <w:sz w:val="20"/>
          <w:szCs w:val="20"/>
        </w:rPr>
        <w:t>Some reforms were passed in the Public Authorities Accountability Act of 2005</w:t>
      </w:r>
      <w:r>
        <w:rPr>
          <w:sz w:val="20"/>
          <w:szCs w:val="20"/>
        </w:rPr>
        <w:t>, and t</w:t>
      </w:r>
      <w:hyperlink r:id="rId7" w:anchor="cite_note-abo-5" w:history="1"/>
      <w:proofErr w:type="gramStart"/>
      <w:r w:rsidRPr="00C1488A">
        <w:rPr>
          <w:sz w:val="20"/>
          <w:szCs w:val="20"/>
        </w:rPr>
        <w:t>he</w:t>
      </w:r>
      <w:proofErr w:type="gramEnd"/>
      <w:r w:rsidRPr="00C1488A">
        <w:rPr>
          <w:sz w:val="20"/>
          <w:szCs w:val="20"/>
        </w:rPr>
        <w:t xml:space="preserve"> </w:t>
      </w:r>
      <w:r w:rsidRPr="002279A0">
        <w:rPr>
          <w:sz w:val="20"/>
          <w:szCs w:val="20"/>
        </w:rPr>
        <w:t>New York State Authorities Budget Office</w:t>
      </w:r>
      <w:r w:rsidRPr="00C1488A">
        <w:rPr>
          <w:sz w:val="20"/>
          <w:szCs w:val="20"/>
        </w:rPr>
        <w:t xml:space="preserve">, in their 2018 annual report, noted that there were 47 </w:t>
      </w:r>
      <w:r w:rsidR="00F12B00">
        <w:rPr>
          <w:sz w:val="20"/>
          <w:szCs w:val="20"/>
        </w:rPr>
        <w:t xml:space="preserve">U.S. </w:t>
      </w:r>
      <w:r w:rsidRPr="00C1488A">
        <w:rPr>
          <w:sz w:val="20"/>
          <w:szCs w:val="20"/>
        </w:rPr>
        <w:t>state authorities and 531 local authorities, including 109 IDAs and 292 not-for-</w:t>
      </w:r>
      <w:r w:rsidRPr="002279A0">
        <w:rPr>
          <w:b/>
          <w:bCs/>
          <w:sz w:val="20"/>
          <w:szCs w:val="20"/>
        </w:rPr>
        <w:t>profit</w:t>
      </w:r>
      <w:r w:rsidRPr="00C1488A">
        <w:rPr>
          <w:sz w:val="20"/>
          <w:szCs w:val="20"/>
        </w:rPr>
        <w:t xml:space="preserve"> corporations created locally, that they provided oversight for in New York State. According to this same </w:t>
      </w:r>
      <w:r w:rsidRPr="002279A0">
        <w:rPr>
          <w:sz w:val="20"/>
          <w:szCs w:val="20"/>
        </w:rPr>
        <w:t>Authorities Budget Office</w:t>
      </w:r>
      <w:r w:rsidRPr="00C1488A">
        <w:rPr>
          <w:sz w:val="20"/>
          <w:szCs w:val="20"/>
        </w:rPr>
        <w:t xml:space="preserve"> report, the operating expenses in 2017 for the 47 state authorities </w:t>
      </w:r>
      <w:proofErr w:type="gramStart"/>
      <w:r w:rsidRPr="00C1488A">
        <w:rPr>
          <w:sz w:val="20"/>
          <w:szCs w:val="20"/>
        </w:rPr>
        <w:t>was</w:t>
      </w:r>
      <w:proofErr w:type="gramEnd"/>
      <w:r w:rsidRPr="00C1488A">
        <w:rPr>
          <w:sz w:val="20"/>
          <w:szCs w:val="20"/>
        </w:rPr>
        <w:t xml:space="preserve"> $34.82 billion. Additionally, the 47 state authorities carried a total of $160.4 billion in outstanding debt</w:t>
      </w:r>
      <w:r w:rsidR="007D376C">
        <w:rPr>
          <w:sz w:val="20"/>
          <w:szCs w:val="20"/>
        </w:rPr>
        <w:t>.</w:t>
      </w:r>
    </w:p>
    <w:p w14:paraId="78B0155B" w14:textId="6F72C7F1" w:rsidR="00FD0CEA" w:rsidRDefault="00FD0CEA" w:rsidP="00FD0CEA">
      <w:pPr>
        <w:pStyle w:val="NormalWeb"/>
        <w:shd w:val="clear" w:color="auto" w:fill="FFFFFF"/>
        <w:spacing w:before="120" w:after="0"/>
        <w:rPr>
          <w:color w:val="212529"/>
          <w:sz w:val="20"/>
          <w:szCs w:val="20"/>
          <w:shd w:val="clear" w:color="auto" w:fill="FFFFFF"/>
        </w:rPr>
      </w:pPr>
      <w:r w:rsidRPr="002E1AF1">
        <w:rPr>
          <w:sz w:val="20"/>
          <w:szCs w:val="20"/>
        </w:rPr>
        <w:t>On behalf of all Americans without legislative and or civil / legal disabilities</w:t>
      </w:r>
      <w:r>
        <w:rPr>
          <w:sz w:val="20"/>
          <w:szCs w:val="20"/>
        </w:rPr>
        <w:t>,</w:t>
      </w:r>
      <w:r w:rsidRPr="002E1AF1">
        <w:rPr>
          <w:sz w:val="20"/>
          <w:szCs w:val="20"/>
        </w:rPr>
        <w:t xml:space="preserve"> we the </w:t>
      </w:r>
      <w:r w:rsidR="00E64A31">
        <w:rPr>
          <w:sz w:val="20"/>
          <w:szCs w:val="20"/>
        </w:rPr>
        <w:t>“</w:t>
      </w:r>
      <w:r w:rsidRPr="002E1AF1">
        <w:rPr>
          <w:sz w:val="20"/>
          <w:szCs w:val="20"/>
        </w:rPr>
        <w:t>American civilians</w:t>
      </w:r>
      <w:r w:rsidR="00E64A31">
        <w:rPr>
          <w:sz w:val="20"/>
          <w:szCs w:val="20"/>
        </w:rPr>
        <w:t>”</w:t>
      </w:r>
      <w:r w:rsidRPr="002E1AF1">
        <w:rPr>
          <w:sz w:val="20"/>
          <w:szCs w:val="20"/>
        </w:rPr>
        <w:t xml:space="preserve">, wish to extend our </w:t>
      </w:r>
      <w:r w:rsidRPr="002E1AF1">
        <w:rPr>
          <w:color w:val="212529"/>
          <w:sz w:val="20"/>
          <w:szCs w:val="20"/>
          <w:shd w:val="clear" w:color="auto" w:fill="FFFFFF"/>
        </w:rPr>
        <w:t xml:space="preserve">sincere gratitude to all involved parties. All were of great benefit to us in our search to get to the bottom of </w:t>
      </w:r>
      <w:proofErr w:type="gramStart"/>
      <w:r w:rsidRPr="002E1AF1">
        <w:rPr>
          <w:color w:val="212529"/>
          <w:sz w:val="20"/>
          <w:szCs w:val="20"/>
          <w:shd w:val="clear" w:color="auto" w:fill="FFFFFF"/>
        </w:rPr>
        <w:t>INNER-standing</w:t>
      </w:r>
      <w:proofErr w:type="gramEnd"/>
      <w:r w:rsidRPr="002E1AF1">
        <w:rPr>
          <w:color w:val="212529"/>
          <w:sz w:val="20"/>
          <w:szCs w:val="20"/>
          <w:shd w:val="clear" w:color="auto" w:fill="FFFFFF"/>
        </w:rPr>
        <w:t xml:space="preserve"> the </w:t>
      </w:r>
      <w:r w:rsidR="0077708C">
        <w:rPr>
          <w:color w:val="212529"/>
          <w:sz w:val="20"/>
          <w:szCs w:val="20"/>
          <w:shd w:val="clear" w:color="auto" w:fill="FFFFFF"/>
        </w:rPr>
        <w:t xml:space="preserve">COMPLEX </w:t>
      </w:r>
      <w:r w:rsidRPr="002E1AF1">
        <w:rPr>
          <w:color w:val="212529"/>
          <w:sz w:val="20"/>
          <w:szCs w:val="20"/>
          <w:shd w:val="clear" w:color="auto" w:fill="FFFFFF"/>
        </w:rPr>
        <w:t xml:space="preserve">dual justice system currently in play in the United States (US) unified trial / inferior DISTRICT COURT systems and its federal enclave military laws, that is overshadowing the American Common Law system. </w:t>
      </w:r>
    </w:p>
    <w:p w14:paraId="16304ADC" w14:textId="77D343F7" w:rsidR="00FD0CEA" w:rsidRPr="002E1AF1" w:rsidRDefault="00FD0CEA" w:rsidP="00FD0CEA">
      <w:pPr>
        <w:pStyle w:val="NormalWeb"/>
        <w:shd w:val="clear" w:color="auto" w:fill="FFFFFF"/>
        <w:spacing w:before="120" w:after="0"/>
        <w:rPr>
          <w:color w:val="212529"/>
          <w:sz w:val="20"/>
          <w:szCs w:val="20"/>
          <w:shd w:val="clear" w:color="auto" w:fill="FFFFFF"/>
        </w:rPr>
      </w:pPr>
      <w:r w:rsidRPr="002E1AF1">
        <w:rPr>
          <w:color w:val="212529"/>
          <w:sz w:val="20"/>
          <w:szCs w:val="20"/>
          <w:shd w:val="clear" w:color="auto" w:fill="FFFFFF"/>
        </w:rPr>
        <w:t xml:space="preserve">It is time to put an end to these </w:t>
      </w:r>
      <w:r>
        <w:rPr>
          <w:color w:val="212529"/>
          <w:sz w:val="20"/>
          <w:szCs w:val="20"/>
          <w:shd w:val="clear" w:color="auto" w:fill="FFFFFF"/>
        </w:rPr>
        <w:t xml:space="preserve">legal shenanigans </w:t>
      </w:r>
      <w:r w:rsidRPr="002E1AF1">
        <w:rPr>
          <w:color w:val="212529"/>
          <w:sz w:val="20"/>
          <w:szCs w:val="20"/>
          <w:shd w:val="clear" w:color="auto" w:fill="FFFFFF"/>
        </w:rPr>
        <w:t xml:space="preserve">and </w:t>
      </w:r>
      <w:r w:rsidRPr="002E1AF1">
        <w:rPr>
          <w:i/>
          <w:iCs/>
          <w:color w:val="212529"/>
          <w:sz w:val="20"/>
          <w:szCs w:val="20"/>
          <w:shd w:val="clear" w:color="auto" w:fill="FFFFFF"/>
        </w:rPr>
        <w:t>pro se</w:t>
      </w:r>
      <w:r w:rsidRPr="002E1AF1">
        <w:rPr>
          <w:color w:val="212529"/>
          <w:sz w:val="20"/>
          <w:szCs w:val="20"/>
          <w:shd w:val="clear" w:color="auto" w:fill="FFFFFF"/>
        </w:rPr>
        <w:t xml:space="preserve"> or vexatious litigations and </w:t>
      </w:r>
      <w:r>
        <w:rPr>
          <w:color w:val="212529"/>
          <w:sz w:val="20"/>
          <w:szCs w:val="20"/>
          <w:shd w:val="clear" w:color="auto" w:fill="FFFFFF"/>
        </w:rPr>
        <w:t xml:space="preserve">immediately </w:t>
      </w:r>
      <w:r w:rsidRPr="002E1AF1">
        <w:rPr>
          <w:color w:val="212529"/>
          <w:sz w:val="20"/>
          <w:szCs w:val="20"/>
          <w:shd w:val="clear" w:color="auto" w:fill="FFFFFF"/>
        </w:rPr>
        <w:t xml:space="preserve">release </w:t>
      </w:r>
      <w:r>
        <w:rPr>
          <w:color w:val="212529"/>
          <w:sz w:val="20"/>
          <w:szCs w:val="20"/>
          <w:shd w:val="clear" w:color="auto" w:fill="FFFFFF"/>
        </w:rPr>
        <w:t xml:space="preserve">these ongoing </w:t>
      </w:r>
      <w:r w:rsidRPr="002E1AF1">
        <w:rPr>
          <w:color w:val="212529"/>
          <w:sz w:val="20"/>
          <w:szCs w:val="20"/>
          <w:shd w:val="clear" w:color="auto" w:fill="FFFFFF"/>
        </w:rPr>
        <w:t>tortious claims, including the intentional foreign trespass to our</w:t>
      </w:r>
      <w:r>
        <w:rPr>
          <w:color w:val="212529"/>
          <w:sz w:val="20"/>
          <w:szCs w:val="20"/>
          <w:shd w:val="clear" w:color="auto" w:fill="FFFFFF"/>
        </w:rPr>
        <w:t xml:space="preserve"> private</w:t>
      </w:r>
      <w:r w:rsidRPr="002E1AF1">
        <w:rPr>
          <w:color w:val="212529"/>
          <w:sz w:val="20"/>
          <w:szCs w:val="20"/>
          <w:shd w:val="clear" w:color="auto" w:fill="FFFFFF"/>
        </w:rPr>
        <w:t xml:space="preserve"> land, among others, which is NOT within the limited United States jurisdiction; --- and provide full “</w:t>
      </w:r>
      <w:r>
        <w:rPr>
          <w:color w:val="212529"/>
          <w:sz w:val="20"/>
          <w:szCs w:val="20"/>
          <w:shd w:val="clear" w:color="auto" w:fill="FFFFFF"/>
        </w:rPr>
        <w:t xml:space="preserve">Restoration, Reclamation and </w:t>
      </w:r>
      <w:r w:rsidRPr="002E1AF1">
        <w:rPr>
          <w:color w:val="212529"/>
          <w:sz w:val="20"/>
          <w:szCs w:val="20"/>
          <w:shd w:val="clear" w:color="auto" w:fill="FFFFFF"/>
        </w:rPr>
        <w:t xml:space="preserve">Restitution” of all misappropriated assets, to include </w:t>
      </w:r>
      <w:r w:rsidRPr="003D4ACE">
        <w:rPr>
          <w:b/>
          <w:bCs/>
          <w:color w:val="212529"/>
          <w:sz w:val="20"/>
          <w:szCs w:val="20"/>
          <w:shd w:val="clear" w:color="auto" w:fill="FFFFFF"/>
        </w:rPr>
        <w:t>deregistration</w:t>
      </w:r>
      <w:r w:rsidRPr="002E1AF1">
        <w:rPr>
          <w:color w:val="212529"/>
          <w:sz w:val="20"/>
          <w:szCs w:val="20"/>
          <w:shd w:val="clear" w:color="auto" w:fill="FFFFFF"/>
        </w:rPr>
        <w:t xml:space="preserve"> of our real and/or personal </w:t>
      </w:r>
      <w:r>
        <w:rPr>
          <w:color w:val="212529"/>
          <w:sz w:val="20"/>
          <w:szCs w:val="20"/>
          <w:shd w:val="clear" w:color="auto" w:fill="FFFFFF"/>
        </w:rPr>
        <w:t xml:space="preserve">property </w:t>
      </w:r>
      <w:r w:rsidRPr="002E1AF1">
        <w:rPr>
          <w:color w:val="212529"/>
          <w:sz w:val="20"/>
          <w:szCs w:val="20"/>
          <w:shd w:val="clear" w:color="auto" w:fill="FFFFFF"/>
        </w:rPr>
        <w:t xml:space="preserve">from all UN member state </w:t>
      </w:r>
      <w:r>
        <w:rPr>
          <w:color w:val="212529"/>
          <w:sz w:val="20"/>
          <w:szCs w:val="20"/>
          <w:shd w:val="clear" w:color="auto" w:fill="FFFFFF"/>
        </w:rPr>
        <w:t xml:space="preserve">private </w:t>
      </w:r>
      <w:r w:rsidRPr="002E1AF1">
        <w:rPr>
          <w:color w:val="212529"/>
          <w:sz w:val="20"/>
          <w:szCs w:val="20"/>
          <w:shd w:val="clear" w:color="auto" w:fill="FFFFFF"/>
        </w:rPr>
        <w:t>registries.</w:t>
      </w:r>
    </w:p>
    <w:p w14:paraId="55B484B4" w14:textId="46C6D22F" w:rsidR="00FD0CEA" w:rsidRDefault="00FD0CEA" w:rsidP="00FD0CEA">
      <w:pPr>
        <w:pStyle w:val="NormalWeb"/>
        <w:shd w:val="clear" w:color="auto" w:fill="FFFFFF"/>
        <w:spacing w:before="120" w:after="0"/>
        <w:rPr>
          <w:sz w:val="20"/>
          <w:szCs w:val="20"/>
        </w:rPr>
      </w:pPr>
      <w:r>
        <w:rPr>
          <w:sz w:val="20"/>
          <w:szCs w:val="20"/>
        </w:rPr>
        <w:t>I AM a</w:t>
      </w:r>
      <w:r w:rsidRPr="002E1AF1">
        <w:rPr>
          <w:sz w:val="20"/>
          <w:szCs w:val="20"/>
        </w:rPr>
        <w:t xml:space="preserve"> sentient self-aware, competent, responsible</w:t>
      </w:r>
      <w:r w:rsidR="0077708C">
        <w:rPr>
          <w:sz w:val="20"/>
          <w:szCs w:val="20"/>
        </w:rPr>
        <w:t xml:space="preserve"> and autonomous</w:t>
      </w:r>
      <w:r w:rsidRPr="002E1AF1">
        <w:rPr>
          <w:sz w:val="20"/>
          <w:szCs w:val="20"/>
        </w:rPr>
        <w:t xml:space="preserve"> adult who </w:t>
      </w:r>
      <w:r>
        <w:rPr>
          <w:sz w:val="20"/>
          <w:szCs w:val="20"/>
        </w:rPr>
        <w:t>is a</w:t>
      </w:r>
      <w:r w:rsidRPr="002E1AF1">
        <w:rPr>
          <w:sz w:val="20"/>
          <w:szCs w:val="20"/>
        </w:rPr>
        <w:t xml:space="preserve"> natural person and entitled to relief, per Hale v. Henkel, 201 U.S. 43, under international laws as well as the laws of humanity. </w:t>
      </w:r>
    </w:p>
    <w:p w14:paraId="0953E2BB" w14:textId="59098EE2" w:rsidR="00FD0CEA" w:rsidRDefault="00FD0CEA" w:rsidP="00FD0CEA">
      <w:pPr>
        <w:pStyle w:val="NormalWeb"/>
        <w:shd w:val="clear" w:color="auto" w:fill="FFFFFF"/>
        <w:spacing w:before="120" w:after="0"/>
        <w:rPr>
          <w:sz w:val="20"/>
          <w:szCs w:val="20"/>
        </w:rPr>
      </w:pPr>
      <w:r>
        <w:rPr>
          <w:sz w:val="20"/>
          <w:szCs w:val="20"/>
        </w:rPr>
        <w:t>I AM</w:t>
      </w:r>
      <w:r w:rsidRPr="002E1AF1">
        <w:rPr>
          <w:sz w:val="20"/>
          <w:szCs w:val="20"/>
        </w:rPr>
        <w:t xml:space="preserve"> forwarding the enclosed documents to the Superior Officer</w:t>
      </w:r>
      <w:r w:rsidR="0077708C">
        <w:rPr>
          <w:sz w:val="20"/>
          <w:szCs w:val="20"/>
        </w:rPr>
        <w:t>(</w:t>
      </w:r>
      <w:r w:rsidRPr="002E1AF1">
        <w:rPr>
          <w:sz w:val="20"/>
          <w:szCs w:val="20"/>
        </w:rPr>
        <w:t>s</w:t>
      </w:r>
      <w:r w:rsidR="0077708C">
        <w:rPr>
          <w:sz w:val="20"/>
          <w:szCs w:val="20"/>
        </w:rPr>
        <w:t>)</w:t>
      </w:r>
      <w:r w:rsidRPr="002E1AF1">
        <w:rPr>
          <w:sz w:val="20"/>
          <w:szCs w:val="20"/>
        </w:rPr>
        <w:t xml:space="preserve"> of the </w:t>
      </w:r>
      <w:r w:rsidR="0077708C">
        <w:rPr>
          <w:sz w:val="20"/>
          <w:szCs w:val="20"/>
        </w:rPr>
        <w:t>de jure authorities</w:t>
      </w:r>
      <w:r w:rsidRPr="002E1AF1">
        <w:rPr>
          <w:sz w:val="20"/>
          <w:szCs w:val="20"/>
        </w:rPr>
        <w:t xml:space="preserve"> to inform them of the unconstitutional </w:t>
      </w:r>
      <w:r w:rsidRPr="002E1AF1">
        <w:rPr>
          <w:i/>
          <w:iCs/>
          <w:sz w:val="20"/>
          <w:szCs w:val="20"/>
        </w:rPr>
        <w:t>in rem</w:t>
      </w:r>
      <w:r w:rsidRPr="002E1AF1">
        <w:rPr>
          <w:sz w:val="20"/>
          <w:szCs w:val="20"/>
        </w:rPr>
        <w:t xml:space="preserve"> </w:t>
      </w:r>
      <w:r>
        <w:rPr>
          <w:sz w:val="20"/>
          <w:szCs w:val="20"/>
        </w:rPr>
        <w:t xml:space="preserve">admiralty </w:t>
      </w:r>
      <w:r w:rsidRPr="002E1AF1">
        <w:rPr>
          <w:sz w:val="20"/>
          <w:szCs w:val="20"/>
        </w:rPr>
        <w:t xml:space="preserve">proceedings being </w:t>
      </w:r>
      <w:r w:rsidR="0077708C">
        <w:rPr>
          <w:sz w:val="20"/>
          <w:szCs w:val="20"/>
        </w:rPr>
        <w:t xml:space="preserve">orchestrated out of New York Harbor’s Port Authority of New York and New Jersey, </w:t>
      </w:r>
      <w:r w:rsidRPr="002E1AF1">
        <w:rPr>
          <w:sz w:val="20"/>
          <w:szCs w:val="20"/>
        </w:rPr>
        <w:t xml:space="preserve">by </w:t>
      </w:r>
      <w:r w:rsidR="0077708C">
        <w:rPr>
          <w:sz w:val="20"/>
          <w:szCs w:val="20"/>
        </w:rPr>
        <w:t xml:space="preserve">private </w:t>
      </w:r>
      <w:r>
        <w:rPr>
          <w:sz w:val="20"/>
          <w:szCs w:val="20"/>
        </w:rPr>
        <w:t xml:space="preserve">registered </w:t>
      </w:r>
      <w:r w:rsidR="0077708C">
        <w:rPr>
          <w:sz w:val="20"/>
          <w:szCs w:val="20"/>
        </w:rPr>
        <w:t>or</w:t>
      </w:r>
      <w:r>
        <w:rPr>
          <w:sz w:val="20"/>
          <w:szCs w:val="20"/>
        </w:rPr>
        <w:t xml:space="preserve"> licensed </w:t>
      </w:r>
      <w:r w:rsidRPr="002E1AF1">
        <w:rPr>
          <w:sz w:val="20"/>
          <w:szCs w:val="20"/>
        </w:rPr>
        <w:t>United States offic</w:t>
      </w:r>
      <w:r>
        <w:rPr>
          <w:sz w:val="20"/>
          <w:szCs w:val="20"/>
        </w:rPr>
        <w:t>ials</w:t>
      </w:r>
      <w:r w:rsidRPr="002E1AF1">
        <w:rPr>
          <w:sz w:val="20"/>
          <w:szCs w:val="20"/>
        </w:rPr>
        <w:t xml:space="preserve"> termed law enforcement officers, as well as by UN </w:t>
      </w:r>
      <w:r>
        <w:rPr>
          <w:sz w:val="20"/>
          <w:szCs w:val="20"/>
        </w:rPr>
        <w:t xml:space="preserve">regional </w:t>
      </w:r>
      <w:r w:rsidRPr="002E1AF1">
        <w:rPr>
          <w:sz w:val="20"/>
          <w:szCs w:val="20"/>
        </w:rPr>
        <w:t xml:space="preserve">member state courts against the </w:t>
      </w:r>
      <w:r>
        <w:rPr>
          <w:sz w:val="20"/>
          <w:szCs w:val="20"/>
        </w:rPr>
        <w:t xml:space="preserve">civilian population, </w:t>
      </w:r>
      <w:r w:rsidRPr="002E1AF1">
        <w:rPr>
          <w:sz w:val="20"/>
          <w:szCs w:val="20"/>
        </w:rPr>
        <w:t>pursuant to United States Department of Justice 28 U.S.C. § 1442 (d)(3)</w:t>
      </w:r>
      <w:r>
        <w:rPr>
          <w:sz w:val="20"/>
          <w:szCs w:val="20"/>
        </w:rPr>
        <w:t>.</w:t>
      </w:r>
    </w:p>
    <w:p w14:paraId="65A95712" w14:textId="53F813AA" w:rsidR="00FD0CEA" w:rsidRDefault="00FD0CEA" w:rsidP="0077708C">
      <w:pPr>
        <w:pStyle w:val="NormalWeb"/>
        <w:shd w:val="clear" w:color="auto" w:fill="FFFFFF"/>
        <w:spacing w:before="120" w:after="0"/>
        <w:ind w:left="720"/>
        <w:rPr>
          <w:sz w:val="20"/>
          <w:szCs w:val="20"/>
        </w:rPr>
      </w:pPr>
      <w:r w:rsidRPr="002E1AF1">
        <w:rPr>
          <w:sz w:val="20"/>
          <w:szCs w:val="20"/>
        </w:rPr>
        <w:t>According to the public records, under 28 U.S.C. § 1442 (d)(3), the term “</w:t>
      </w:r>
      <w:r w:rsidRPr="002E1AF1">
        <w:rPr>
          <w:b/>
          <w:bCs/>
          <w:sz w:val="20"/>
          <w:szCs w:val="20"/>
        </w:rPr>
        <w:t>law enforcement officer</w:t>
      </w:r>
      <w:r w:rsidRPr="002E1AF1">
        <w:rPr>
          <w:sz w:val="20"/>
          <w:szCs w:val="20"/>
        </w:rPr>
        <w:t xml:space="preserve">” means any employee described in subparagraph (A), (B), or (C) of section 8401(17) of title 5 and any special agent in the Diplomatic Security Service of the Department of State. </w:t>
      </w:r>
      <w:r w:rsidR="0077708C">
        <w:rPr>
          <w:sz w:val="20"/>
          <w:szCs w:val="20"/>
        </w:rPr>
        <w:t xml:space="preserve">--- </w:t>
      </w:r>
      <w:r w:rsidRPr="002E1AF1">
        <w:rPr>
          <w:sz w:val="20"/>
          <w:szCs w:val="20"/>
        </w:rPr>
        <w:t>D</w:t>
      </w:r>
      <w:r>
        <w:rPr>
          <w:sz w:val="20"/>
          <w:szCs w:val="20"/>
        </w:rPr>
        <w:t>eclarative sovereignty cannot grant</w:t>
      </w:r>
      <w:r w:rsidRPr="002E1AF1">
        <w:rPr>
          <w:sz w:val="20"/>
          <w:szCs w:val="20"/>
        </w:rPr>
        <w:t xml:space="preserve"> sovereign immunity.</w:t>
      </w:r>
    </w:p>
    <w:p w14:paraId="428B0CC7" w14:textId="1E10B805" w:rsidR="005C5538" w:rsidRDefault="005C5538" w:rsidP="005C5538">
      <w:pPr>
        <w:pStyle w:val="NormalWeb"/>
        <w:shd w:val="clear" w:color="auto" w:fill="FFFFFF"/>
        <w:spacing w:before="120" w:after="0"/>
        <w:jc w:val="center"/>
        <w:rPr>
          <w:b/>
          <w:bCs/>
          <w:sz w:val="20"/>
          <w:szCs w:val="20"/>
          <w:u w:val="single"/>
        </w:rPr>
      </w:pPr>
      <w:r w:rsidRPr="00C177DF">
        <w:rPr>
          <w:b/>
          <w:bCs/>
          <w:sz w:val="20"/>
          <w:szCs w:val="20"/>
          <w:u w:val="single"/>
        </w:rPr>
        <w:t xml:space="preserve">In the event a man or woman does not consent to a particular action and calls a “time out,” the liability clock starts ticking for the </w:t>
      </w:r>
      <w:r w:rsidR="0077708C">
        <w:rPr>
          <w:b/>
          <w:bCs/>
          <w:sz w:val="20"/>
          <w:szCs w:val="20"/>
          <w:u w:val="single"/>
        </w:rPr>
        <w:t xml:space="preserve">U.S. </w:t>
      </w:r>
      <w:r>
        <w:rPr>
          <w:b/>
          <w:bCs/>
          <w:sz w:val="20"/>
          <w:szCs w:val="20"/>
          <w:u w:val="single"/>
        </w:rPr>
        <w:t>c</w:t>
      </w:r>
      <w:r w:rsidRPr="00C177DF">
        <w:rPr>
          <w:b/>
          <w:bCs/>
          <w:sz w:val="20"/>
          <w:szCs w:val="20"/>
          <w:u w:val="single"/>
        </w:rPr>
        <w:t xml:space="preserve">ongressional or </w:t>
      </w:r>
      <w:r w:rsidR="0077708C">
        <w:rPr>
          <w:b/>
          <w:bCs/>
          <w:sz w:val="20"/>
          <w:szCs w:val="20"/>
          <w:u w:val="single"/>
        </w:rPr>
        <w:t xml:space="preserve">U.S. </w:t>
      </w:r>
      <w:r w:rsidRPr="00C177DF">
        <w:rPr>
          <w:b/>
          <w:bCs/>
          <w:sz w:val="20"/>
          <w:szCs w:val="20"/>
          <w:u w:val="single"/>
        </w:rPr>
        <w:t xml:space="preserve">state </w:t>
      </w:r>
      <w:r w:rsidR="0077708C">
        <w:rPr>
          <w:b/>
          <w:bCs/>
          <w:sz w:val="20"/>
          <w:szCs w:val="20"/>
          <w:u w:val="single"/>
        </w:rPr>
        <w:t xml:space="preserve">constituent / </w:t>
      </w:r>
      <w:r w:rsidRPr="00C177DF">
        <w:rPr>
          <w:b/>
          <w:bCs/>
          <w:sz w:val="20"/>
          <w:szCs w:val="20"/>
          <w:u w:val="single"/>
        </w:rPr>
        <w:t>representative, the federal enclave police officer, magistrate, judge, sheriff, real estate agent, other public officer or any other agent.</w:t>
      </w:r>
    </w:p>
    <w:p w14:paraId="2C7E322B" w14:textId="77777777" w:rsidR="00FD0CEA" w:rsidRPr="00C46966" w:rsidRDefault="00FD0CEA" w:rsidP="00FD0CEA">
      <w:pPr>
        <w:spacing w:line="276" w:lineRule="auto"/>
        <w:jc w:val="center"/>
        <w:rPr>
          <w:rFonts w:ascii="Times New Roman" w:hAnsi="Times New Roman" w:cs="Times New Roman"/>
          <w:b/>
          <w:bCs/>
          <w:color w:val="171717" w:themeColor="background2" w:themeShade="1A"/>
          <w:sz w:val="2"/>
          <w:szCs w:val="2"/>
        </w:rPr>
      </w:pPr>
    </w:p>
    <w:p w14:paraId="0057734B" w14:textId="77777777" w:rsidR="00FD0CEA" w:rsidRPr="00DB58C6" w:rsidRDefault="00FD0CEA" w:rsidP="00FD0CEA">
      <w:pPr>
        <w:spacing w:line="276" w:lineRule="auto"/>
        <w:jc w:val="center"/>
        <w:rPr>
          <w:rFonts w:ascii="Times New Roman" w:hAnsi="Times New Roman" w:cs="Times New Roman"/>
          <w:b/>
          <w:bCs/>
          <w:color w:val="171717" w:themeColor="background2" w:themeShade="1A"/>
          <w:sz w:val="20"/>
          <w:szCs w:val="20"/>
        </w:rPr>
      </w:pPr>
      <w:r w:rsidRPr="00DB58C6">
        <w:rPr>
          <w:rFonts w:ascii="Times New Roman" w:hAnsi="Times New Roman" w:cs="Times New Roman"/>
          <w:b/>
          <w:bCs/>
          <w:color w:val="171717" w:themeColor="background2" w:themeShade="1A"/>
          <w:sz w:val="20"/>
          <w:szCs w:val="20"/>
        </w:rPr>
        <w:t>Trespasser of the Law</w:t>
      </w:r>
    </w:p>
    <w:p w14:paraId="35EEA54A" w14:textId="77777777" w:rsidR="00FD0CEA" w:rsidRPr="00DB58C6" w:rsidRDefault="00FD0CEA" w:rsidP="00FD0CEA">
      <w:pPr>
        <w:spacing w:line="276" w:lineRule="auto"/>
        <w:jc w:val="both"/>
        <w:rPr>
          <w:rFonts w:ascii="Times New Roman" w:hAnsi="Times New Roman" w:cs="Times New Roman"/>
          <w:b/>
          <w:bCs/>
          <w:sz w:val="20"/>
          <w:szCs w:val="20"/>
        </w:rPr>
      </w:pPr>
      <w:r w:rsidRPr="00DB58C6">
        <w:rPr>
          <w:rFonts w:ascii="Times New Roman" w:hAnsi="Times New Roman" w:cs="Times New Roman"/>
          <w:color w:val="171717" w:themeColor="background2" w:themeShade="1A"/>
          <w:sz w:val="20"/>
          <w:szCs w:val="20"/>
        </w:rPr>
        <w:t xml:space="preserve">The Court in </w:t>
      </w:r>
      <w:r w:rsidRPr="00DB58C6">
        <w:rPr>
          <w:rFonts w:ascii="Times New Roman" w:hAnsi="Times New Roman" w:cs="Times New Roman"/>
          <w:i/>
          <w:color w:val="171717" w:themeColor="background2" w:themeShade="1A"/>
          <w:sz w:val="20"/>
          <w:szCs w:val="20"/>
        </w:rPr>
        <w:t xml:space="preserve">Yates v. Village of Hoffman Estates, Illinois, </w:t>
      </w:r>
      <w:r w:rsidRPr="00DB58C6">
        <w:rPr>
          <w:rFonts w:ascii="Times New Roman" w:hAnsi="Times New Roman" w:cs="Times New Roman"/>
          <w:color w:val="171717" w:themeColor="background2" w:themeShade="1A"/>
          <w:sz w:val="20"/>
          <w:szCs w:val="20"/>
        </w:rPr>
        <w:t xml:space="preserve">209 F. Supp. 757 N.D. Ill. 1962 held that “not every action by a judge is in the exercise of his judicial function. … it is not a judicial function for a judge to commit an </w:t>
      </w:r>
      <w:r w:rsidRPr="00DB58C6">
        <w:rPr>
          <w:rFonts w:ascii="Times New Roman" w:hAnsi="Times New Roman" w:cs="Times New Roman"/>
          <w:b/>
          <w:bCs/>
          <w:color w:val="171717" w:themeColor="background2" w:themeShade="1A"/>
          <w:sz w:val="20"/>
          <w:szCs w:val="20"/>
        </w:rPr>
        <w:t>intentional tort</w:t>
      </w:r>
      <w:r w:rsidRPr="00DB58C6">
        <w:rPr>
          <w:rFonts w:ascii="Times New Roman" w:hAnsi="Times New Roman" w:cs="Times New Roman"/>
          <w:color w:val="171717" w:themeColor="background2" w:themeShade="1A"/>
          <w:sz w:val="20"/>
          <w:szCs w:val="20"/>
        </w:rPr>
        <w:t xml:space="preserve"> even though the tort occurs in the courthouse. When a judge acts as a trespasser of the law, when a judge does not follow the law, the judge loses subject matter jurisdiction and the judges’ orders are void, of no legal force or effect.”</w:t>
      </w:r>
      <w:r w:rsidRPr="00DB58C6">
        <w:rPr>
          <w:rFonts w:ascii="Times New Roman" w:hAnsi="Times New Roman" w:cs="Times New Roman"/>
          <w:b/>
          <w:bCs/>
          <w:sz w:val="20"/>
          <w:szCs w:val="20"/>
        </w:rPr>
        <w:t xml:space="preserve"> </w:t>
      </w:r>
    </w:p>
    <w:p w14:paraId="1F47E5B2" w14:textId="77777777" w:rsidR="00FD0CEA" w:rsidRPr="00846011" w:rsidRDefault="00FD0CEA" w:rsidP="00FD0CEA">
      <w:pPr>
        <w:spacing w:line="276" w:lineRule="auto"/>
        <w:jc w:val="both"/>
        <w:rPr>
          <w:rStyle w:val="Strong"/>
          <w:rFonts w:ascii="Times New Roman" w:hAnsi="Times New Roman" w:cs="Times New Roman"/>
          <w:b w:val="0"/>
          <w:bCs w:val="0"/>
          <w:sz w:val="20"/>
          <w:szCs w:val="20"/>
        </w:rPr>
      </w:pPr>
      <w:r w:rsidRPr="00846011">
        <w:rPr>
          <w:rFonts w:ascii="Times New Roman" w:hAnsi="Times New Roman" w:cs="Times New Roman"/>
          <w:sz w:val="20"/>
          <w:szCs w:val="20"/>
        </w:rPr>
        <w:t xml:space="preserve">Pursuant to </w:t>
      </w:r>
      <w:r w:rsidRPr="00846011">
        <w:rPr>
          <w:rStyle w:val="Strong"/>
          <w:rFonts w:ascii="Times New Roman" w:hAnsi="Times New Roman" w:cs="Times New Roman"/>
          <w:b w:val="0"/>
          <w:bCs w:val="0"/>
          <w:sz w:val="20"/>
          <w:szCs w:val="20"/>
        </w:rPr>
        <w:t xml:space="preserve">Section 16 of the Federal Reserve Act of 1913 as amended in 1934 and the Judiciary Act of 1789 which states in part: </w:t>
      </w:r>
    </w:p>
    <w:p w14:paraId="2443AF6A" w14:textId="77777777" w:rsidR="00FD0CEA" w:rsidRDefault="00FD0CEA" w:rsidP="00FD0CEA">
      <w:pPr>
        <w:pStyle w:val="ListParagraph"/>
        <w:spacing w:line="276" w:lineRule="auto"/>
        <w:jc w:val="both"/>
        <w:rPr>
          <w:rStyle w:val="Strong"/>
          <w:rFonts w:ascii="Times New Roman" w:hAnsi="Times New Roman" w:cs="Times New Roman"/>
          <w:b w:val="0"/>
          <w:bCs w:val="0"/>
          <w:sz w:val="18"/>
          <w:szCs w:val="18"/>
        </w:rPr>
      </w:pPr>
      <w:r w:rsidRPr="00E321F8">
        <w:rPr>
          <w:rStyle w:val="Strong"/>
          <w:rFonts w:ascii="Times New Roman" w:hAnsi="Times New Roman" w:cs="Times New Roman"/>
          <w:b w:val="0"/>
          <w:bCs w:val="0"/>
          <w:sz w:val="18"/>
          <w:szCs w:val="18"/>
        </w:rPr>
        <w:t xml:space="preserve">“…saving to suitors in all cases the right of a common-law remedy, where the common law is competent to give it.” This saving to </w:t>
      </w:r>
      <w:proofErr w:type="gramStart"/>
      <w:r w:rsidRPr="00E321F8">
        <w:rPr>
          <w:rStyle w:val="Strong"/>
          <w:rFonts w:ascii="Times New Roman" w:hAnsi="Times New Roman" w:cs="Times New Roman"/>
          <w:b w:val="0"/>
          <w:bCs w:val="0"/>
          <w:sz w:val="18"/>
          <w:szCs w:val="18"/>
        </w:rPr>
        <w:t>suitors</w:t>
      </w:r>
      <w:proofErr w:type="gramEnd"/>
      <w:r w:rsidRPr="00E321F8">
        <w:rPr>
          <w:rStyle w:val="Strong"/>
          <w:rFonts w:ascii="Times New Roman" w:hAnsi="Times New Roman" w:cs="Times New Roman"/>
          <w:b w:val="0"/>
          <w:bCs w:val="0"/>
          <w:sz w:val="18"/>
          <w:szCs w:val="18"/>
        </w:rPr>
        <w:t xml:space="preserve"> clause of 1789 also allows for the exclusive original cognizance by Congress and by the United States Government of all seizures on land; i.e., “reprisal”. Therefore, Congress was required to write the remedy from elastic currency into Section 16 of the Federal Reserve Act which was codified in U.S.C. at Title 12 § 411.</w:t>
      </w:r>
    </w:p>
    <w:p w14:paraId="53AD2F80" w14:textId="77777777" w:rsidR="00FD0CEA" w:rsidRPr="00DB58C6" w:rsidRDefault="00FD0CEA" w:rsidP="00FD0CEA">
      <w:pPr>
        <w:spacing w:line="276" w:lineRule="auto"/>
        <w:jc w:val="center"/>
        <w:rPr>
          <w:rFonts w:ascii="Times New Roman" w:hAnsi="Times New Roman" w:cs="Times New Roman"/>
          <w:b/>
          <w:sz w:val="20"/>
          <w:szCs w:val="20"/>
        </w:rPr>
      </w:pPr>
      <w:r w:rsidRPr="00DB58C6">
        <w:rPr>
          <w:rFonts w:ascii="Times New Roman" w:hAnsi="Times New Roman" w:cs="Times New Roman"/>
          <w:b/>
          <w:sz w:val="20"/>
          <w:szCs w:val="20"/>
        </w:rPr>
        <w:lastRenderedPageBreak/>
        <w:t>Waiver of Immunity</w:t>
      </w:r>
    </w:p>
    <w:p w14:paraId="360431F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“...where any state proceeds against a private individual in a judicial forum it is well settled that the state, county, municipality, etc. waives any immunity to counters, cross claims and complaints, by direct or collateral means regarding the matters involved.”  </w:t>
      </w:r>
      <w:proofErr w:type="spellStart"/>
      <w:r w:rsidRPr="00DB58C6">
        <w:rPr>
          <w:rFonts w:ascii="Times New Roman" w:hAnsi="Times New Roman" w:cs="Times New Roman"/>
          <w:i/>
          <w:sz w:val="20"/>
          <w:szCs w:val="20"/>
        </w:rPr>
        <w:t>Luckenback</w:t>
      </w:r>
      <w:proofErr w:type="spellEnd"/>
      <w:r w:rsidRPr="00DB58C6">
        <w:rPr>
          <w:rFonts w:ascii="Times New Roman" w:hAnsi="Times New Roman" w:cs="Times New Roman"/>
          <w:i/>
          <w:sz w:val="20"/>
          <w:szCs w:val="20"/>
        </w:rPr>
        <w:t xml:space="preserve"> v. The Thekla</w:t>
      </w:r>
      <w:r w:rsidRPr="00DB58C6">
        <w:rPr>
          <w:rFonts w:ascii="Times New Roman" w:hAnsi="Times New Roman" w:cs="Times New Roman"/>
          <w:sz w:val="20"/>
          <w:szCs w:val="20"/>
        </w:rPr>
        <w:t xml:space="preserve">, 295 F 1020, 226 U.S. 328; </w:t>
      </w:r>
      <w:r w:rsidRPr="00DB58C6">
        <w:rPr>
          <w:rFonts w:ascii="Times New Roman" w:hAnsi="Times New Roman" w:cs="Times New Roman"/>
          <w:i/>
          <w:sz w:val="20"/>
          <w:szCs w:val="20"/>
        </w:rPr>
        <w:t>Lyders v. Lund</w:t>
      </w:r>
      <w:r w:rsidRPr="00DB58C6">
        <w:rPr>
          <w:rFonts w:ascii="Times New Roman" w:hAnsi="Times New Roman" w:cs="Times New Roman"/>
          <w:sz w:val="20"/>
          <w:szCs w:val="20"/>
        </w:rPr>
        <w:t xml:space="preserve">, 32 F2d </w:t>
      </w:r>
      <w:proofErr w:type="gramStart"/>
      <w:r w:rsidRPr="00DB58C6">
        <w:rPr>
          <w:rFonts w:ascii="Times New Roman" w:hAnsi="Times New Roman" w:cs="Times New Roman"/>
          <w:sz w:val="20"/>
          <w:szCs w:val="20"/>
        </w:rPr>
        <w:t xml:space="preserve">308;  </w:t>
      </w:r>
      <w:r w:rsidRPr="00DB58C6">
        <w:rPr>
          <w:rFonts w:ascii="Times New Roman" w:hAnsi="Times New Roman" w:cs="Times New Roman"/>
          <w:i/>
          <w:sz w:val="20"/>
          <w:szCs w:val="20"/>
        </w:rPr>
        <w:t>Dexter</w:t>
      </w:r>
      <w:proofErr w:type="gramEnd"/>
      <w:r w:rsidRPr="00DB58C6">
        <w:rPr>
          <w:rFonts w:ascii="Times New Roman" w:hAnsi="Times New Roman" w:cs="Times New Roman"/>
          <w:i/>
          <w:sz w:val="20"/>
          <w:szCs w:val="20"/>
        </w:rPr>
        <w:t xml:space="preserve"> v.  </w:t>
      </w:r>
      <w:proofErr w:type="spellStart"/>
      <w:r w:rsidRPr="00DB58C6">
        <w:rPr>
          <w:rFonts w:ascii="Times New Roman" w:hAnsi="Times New Roman" w:cs="Times New Roman"/>
          <w:i/>
          <w:sz w:val="20"/>
          <w:szCs w:val="20"/>
        </w:rPr>
        <w:t>Kunglig</w:t>
      </w:r>
      <w:proofErr w:type="spellEnd"/>
      <w:r w:rsidRPr="00DB58C6">
        <w:rPr>
          <w:rFonts w:ascii="Times New Roman" w:hAnsi="Times New Roman" w:cs="Times New Roman"/>
          <w:i/>
          <w:sz w:val="20"/>
          <w:szCs w:val="20"/>
        </w:rPr>
        <w:t xml:space="preserve"> J</w:t>
      </w:r>
      <w:r w:rsidRPr="00DB58C6">
        <w:rPr>
          <w:rFonts w:ascii="Times New Roman" w:hAnsi="Times New Roman" w:cs="Times New Roman"/>
          <w:sz w:val="20"/>
          <w:szCs w:val="20"/>
        </w:rPr>
        <w:t xml:space="preserve">., 43 F2d 705, 282 US 896; </w:t>
      </w:r>
      <w:r w:rsidRPr="00DB58C6">
        <w:rPr>
          <w:rFonts w:ascii="Times New Roman" w:hAnsi="Times New Roman" w:cs="Times New Roman"/>
          <w:i/>
          <w:sz w:val="20"/>
          <w:szCs w:val="20"/>
        </w:rPr>
        <w:t>U.S. v. N.C.B.N.Y</w:t>
      </w:r>
      <w:r w:rsidRPr="00DB58C6">
        <w:rPr>
          <w:rFonts w:ascii="Times New Roman" w:hAnsi="Times New Roman" w:cs="Times New Roman"/>
          <w:sz w:val="20"/>
          <w:szCs w:val="20"/>
        </w:rPr>
        <w:t xml:space="preserve">., 83 F2d 236, 106 ALR 1235, affirmed; </w:t>
      </w:r>
      <w:r w:rsidRPr="00DB58C6">
        <w:rPr>
          <w:rFonts w:ascii="Times New Roman" w:hAnsi="Times New Roman" w:cs="Times New Roman"/>
          <w:i/>
          <w:sz w:val="20"/>
          <w:szCs w:val="20"/>
        </w:rPr>
        <w:t>Russia v. BTC</w:t>
      </w:r>
      <w:r w:rsidRPr="00DB58C6">
        <w:rPr>
          <w:rFonts w:ascii="Times New Roman" w:hAnsi="Times New Roman" w:cs="Times New Roman"/>
          <w:sz w:val="20"/>
          <w:szCs w:val="20"/>
        </w:rPr>
        <w:t>, 4 F Supp 417, 299 U.S. 563.</w:t>
      </w:r>
    </w:p>
    <w:p w14:paraId="59FDC33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This doctrine includes, but is not limited to, challenges to personal, subject matter and territorial jurisdiction, as well as to claims that the forum is not judicial in nature but merely administrative or that the court is proceeding, improperly, against a </w:t>
      </w:r>
      <w:r w:rsidRPr="00DB58C6">
        <w:rPr>
          <w:rFonts w:ascii="Times New Roman" w:hAnsi="Times New Roman" w:cs="Times New Roman"/>
          <w:b/>
          <w:sz w:val="20"/>
          <w:szCs w:val="20"/>
        </w:rPr>
        <w:t>private individual</w:t>
      </w:r>
      <w:r w:rsidRPr="00DB58C6">
        <w:rPr>
          <w:rFonts w:ascii="Times New Roman" w:hAnsi="Times New Roman" w:cs="Times New Roman"/>
          <w:sz w:val="20"/>
          <w:szCs w:val="20"/>
        </w:rPr>
        <w:t xml:space="preserve"> under the rebuttable presumption that the private individual is a corporate entity or an artificial person upon which the Public Statutes operate. Furthermore, it is undisputed that the state itself is acting in its capacity as a commercial entity and is liable for damages.</w:t>
      </w:r>
    </w:p>
    <w:p w14:paraId="77372A29" w14:textId="77777777" w:rsidR="00FD0CEA" w:rsidRDefault="00FD0CEA" w:rsidP="00FD0CEA">
      <w:pPr>
        <w:pStyle w:val="ListParagraph"/>
        <w:spacing w:line="276" w:lineRule="auto"/>
        <w:ind w:left="-5"/>
        <w:jc w:val="both"/>
        <w:rPr>
          <w:rFonts w:ascii="Times New Roman" w:hAnsi="Times New Roman" w:cs="Times New Roman"/>
          <w:sz w:val="20"/>
          <w:szCs w:val="20"/>
        </w:rPr>
      </w:pPr>
      <w:r w:rsidRPr="00DB58C6">
        <w:rPr>
          <w:rFonts w:ascii="Times New Roman" w:hAnsi="Times New Roman" w:cs="Times New Roman"/>
          <w:sz w:val="20"/>
          <w:szCs w:val="20"/>
        </w:rPr>
        <w:t xml:space="preserve">"The state may nevertheless be held liable where the injurious activity was 'proprietary' rather than 'governmental', i.e., where the injury was caused by the state acting in its capacity as a commercial entity rather than that of sovereign.” </w:t>
      </w:r>
    </w:p>
    <w:p w14:paraId="1A59598A" w14:textId="77777777" w:rsidR="00FD0CEA" w:rsidRPr="00F1329D" w:rsidRDefault="00FD0CEA" w:rsidP="00FD0CEA">
      <w:pPr>
        <w:pStyle w:val="ListParagraph"/>
        <w:spacing w:line="276" w:lineRule="auto"/>
        <w:ind w:left="-5"/>
        <w:jc w:val="both"/>
        <w:rPr>
          <w:rFonts w:ascii="Times New Roman" w:hAnsi="Times New Roman" w:cs="Times New Roman"/>
          <w:sz w:val="10"/>
          <w:szCs w:val="10"/>
        </w:rPr>
      </w:pPr>
    </w:p>
    <w:p w14:paraId="70CCB34F" w14:textId="3737C4CA" w:rsidR="00FD0CEA" w:rsidRPr="00DB58C6" w:rsidRDefault="00FD0CEA" w:rsidP="00FD0CEA">
      <w:pPr>
        <w:pStyle w:val="ListParagraph"/>
        <w:spacing w:line="276" w:lineRule="auto"/>
        <w:ind w:left="-5"/>
        <w:jc w:val="center"/>
        <w:rPr>
          <w:rFonts w:ascii="Times New Roman" w:hAnsi="Times New Roman" w:cs="Times New Roman"/>
          <w:b/>
          <w:bCs/>
          <w:sz w:val="20"/>
          <w:szCs w:val="20"/>
        </w:rPr>
      </w:pPr>
      <w:r w:rsidRPr="00DB58C6">
        <w:rPr>
          <w:rFonts w:ascii="Times New Roman" w:hAnsi="Times New Roman" w:cs="Times New Roman"/>
          <w:b/>
          <w:bCs/>
          <w:sz w:val="20"/>
          <w:szCs w:val="20"/>
        </w:rPr>
        <w:t>Tax Exempt Organization</w:t>
      </w:r>
      <w:r w:rsidR="00A26313">
        <w:rPr>
          <w:rFonts w:ascii="Times New Roman" w:hAnsi="Times New Roman" w:cs="Times New Roman"/>
          <w:b/>
          <w:bCs/>
          <w:sz w:val="20"/>
          <w:szCs w:val="20"/>
        </w:rPr>
        <w:t>:</w:t>
      </w:r>
      <w:r w:rsidRPr="00DB58C6">
        <w:rPr>
          <w:rFonts w:ascii="Times New Roman" w:hAnsi="Times New Roman" w:cs="Times New Roman"/>
          <w:b/>
          <w:bCs/>
          <w:sz w:val="20"/>
          <w:szCs w:val="20"/>
        </w:rPr>
        <w:t xml:space="preserve"> </w:t>
      </w:r>
      <w:r w:rsidR="00A26313" w:rsidRPr="00A26313">
        <w:rPr>
          <w:rFonts w:ascii="Times New Roman" w:hAnsi="Times New Roman" w:cs="Times New Roman"/>
          <w:sz w:val="20"/>
          <w:szCs w:val="20"/>
        </w:rPr>
        <w:t xml:space="preserve">MCFEE, PHILOMEN </w:t>
      </w:r>
      <w:proofErr w:type="gramStart"/>
      <w:r w:rsidR="00A26313" w:rsidRPr="00A26313">
        <w:rPr>
          <w:rFonts w:ascii="Times New Roman" w:hAnsi="Times New Roman" w:cs="Times New Roman"/>
          <w:sz w:val="20"/>
          <w:szCs w:val="20"/>
        </w:rPr>
        <w:t>ANABELLE</w:t>
      </w:r>
      <w:r w:rsidR="00A26313">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r w:rsidRPr="00FD0CEA">
        <w:rPr>
          <w:rFonts w:ascii="Bodoni MT Black" w:hAnsi="Bodoni MT Black" w:cs="Times New Roman"/>
          <w:b/>
          <w:bCs/>
          <w:sz w:val="20"/>
          <w:szCs w:val="20"/>
        </w:rPr>
        <w:t>|</w:t>
      </w:r>
      <w:proofErr w:type="gramEnd"/>
      <w:r w:rsidRPr="00FD0CEA">
        <w:rPr>
          <w:rFonts w:ascii="Bodoni MT Black" w:hAnsi="Bodoni MT Black" w:cs="Times New Roman"/>
          <w:b/>
          <w:bCs/>
          <w:sz w:val="20"/>
          <w:szCs w:val="20"/>
        </w:rPr>
        <w:t xml:space="preserve"> </w:t>
      </w:r>
      <w:r w:rsidRPr="00FD0CEA">
        <w:rPr>
          <w:rFonts w:ascii="Times New Roman" w:hAnsi="Times New Roman" w:cs="Times New Roman"/>
          <w:b/>
          <w:bCs/>
          <w:sz w:val="20"/>
          <w:szCs w:val="20"/>
        </w:rPr>
        <w:t>Tax-Exempt</w:t>
      </w:r>
      <w:r>
        <w:rPr>
          <w:rFonts w:ascii="Bodoni MT Black" w:hAnsi="Bodoni MT Black" w:cs="Times New Roman"/>
          <w:b/>
          <w:bCs/>
          <w:sz w:val="20"/>
          <w:szCs w:val="20"/>
        </w:rPr>
        <w:t xml:space="preserve"> </w:t>
      </w:r>
      <w:r>
        <w:rPr>
          <w:rFonts w:ascii="Times New Roman" w:hAnsi="Times New Roman" w:cs="Times New Roman"/>
          <w:b/>
          <w:bCs/>
          <w:sz w:val="20"/>
          <w:szCs w:val="20"/>
        </w:rPr>
        <w:t xml:space="preserve">No.: </w:t>
      </w:r>
      <w:r w:rsidR="00A26313" w:rsidRPr="00A26313">
        <w:rPr>
          <w:rFonts w:ascii="Times New Roman" w:hAnsi="Times New Roman" w:cs="Times New Roman"/>
          <w:b/>
          <w:bCs/>
          <w:sz w:val="20"/>
          <w:szCs w:val="20"/>
        </w:rPr>
        <w:t>C</w:t>
      </w:r>
      <w:r w:rsidR="00A26313" w:rsidRPr="00A26313">
        <w:rPr>
          <w:rFonts w:ascii="Times New Roman" w:hAnsi="Times New Roman" w:cs="Times New Roman"/>
          <w:sz w:val="20"/>
          <w:szCs w:val="20"/>
        </w:rPr>
        <w:t>40468385</w:t>
      </w:r>
    </w:p>
    <w:p w14:paraId="7807D608" w14:textId="77777777" w:rsidR="00FD0CEA" w:rsidRPr="00FC7FD4" w:rsidRDefault="00FD0CEA" w:rsidP="00FD0CEA">
      <w:pPr>
        <w:pStyle w:val="ListParagraph"/>
        <w:spacing w:line="276" w:lineRule="auto"/>
        <w:ind w:left="-5"/>
        <w:rPr>
          <w:rFonts w:ascii="Times New Roman" w:hAnsi="Times New Roman" w:cs="Times New Roman"/>
          <w:b/>
          <w:bCs/>
          <w:sz w:val="10"/>
          <w:szCs w:val="10"/>
        </w:rPr>
      </w:pPr>
    </w:p>
    <w:p w14:paraId="5FAAE651" w14:textId="4915EE73" w:rsidR="00FD0CEA" w:rsidRPr="00DB58C6" w:rsidRDefault="00FD0CEA" w:rsidP="00FD0CEA">
      <w:pPr>
        <w:pStyle w:val="ListParagraph"/>
        <w:spacing w:line="276" w:lineRule="auto"/>
        <w:ind w:left="-5"/>
        <w:jc w:val="both"/>
        <w:rPr>
          <w:rFonts w:ascii="Times New Roman" w:hAnsi="Times New Roman" w:cs="Times New Roman"/>
          <w:sz w:val="20"/>
          <w:szCs w:val="20"/>
        </w:rPr>
      </w:pPr>
      <w:r w:rsidRPr="00862DD8">
        <w:rPr>
          <w:rFonts w:ascii="Times New Roman" w:hAnsi="Times New Roman" w:cs="Times New Roman"/>
          <w:sz w:val="20"/>
          <w:szCs w:val="20"/>
        </w:rPr>
        <w:t xml:space="preserve">TO BE CLEAR; </w:t>
      </w:r>
      <w:proofErr w:type="gramStart"/>
      <w:r w:rsidR="00A648F0">
        <w:rPr>
          <w:rFonts w:ascii="Times New Roman" w:hAnsi="Times New Roman" w:cs="Times New Roman"/>
          <w:sz w:val="20"/>
          <w:szCs w:val="20"/>
        </w:rPr>
        <w:t>I :</w:t>
      </w:r>
      <w:proofErr w:type="gramEnd"/>
      <w:r w:rsidR="00A648F0">
        <w:rPr>
          <w:rFonts w:ascii="Times New Roman" w:hAnsi="Times New Roman" w:cs="Times New Roman"/>
          <w:sz w:val="20"/>
          <w:szCs w:val="20"/>
        </w:rPr>
        <w:t xml:space="preserve"> </w:t>
      </w:r>
      <w:r w:rsidR="00A26313">
        <w:rPr>
          <w:rFonts w:ascii="Times New Roman" w:hAnsi="Times New Roman" w:cs="Times New Roman"/>
          <w:i/>
          <w:iCs/>
          <w:color w:val="000000" w:themeColor="text1"/>
          <w:sz w:val="20"/>
          <w:szCs w:val="20"/>
        </w:rPr>
        <w:t>Philomen-Anabelle: McFee</w:t>
      </w:r>
      <w:r w:rsidRPr="00862DD8">
        <w:rPr>
          <w:rFonts w:ascii="Times New Roman" w:hAnsi="Times New Roman" w:cs="Times New Roman"/>
          <w:sz w:val="20"/>
          <w:szCs w:val="20"/>
        </w:rPr>
        <w:t xml:space="preserve">©, doing business under the </w:t>
      </w:r>
      <w:r w:rsidRPr="00862DD8">
        <w:rPr>
          <w:rFonts w:ascii="Times New Roman" w:hAnsi="Times New Roman" w:cs="Times New Roman"/>
          <w:b/>
          <w:bCs/>
          <w:sz w:val="20"/>
          <w:szCs w:val="20"/>
        </w:rPr>
        <w:t>tax-exempt organizational tradename</w:t>
      </w:r>
      <w:r w:rsidRPr="00862DD8">
        <w:rPr>
          <w:rFonts w:ascii="Times New Roman" w:hAnsi="Times New Roman" w:cs="Times New Roman"/>
          <w:sz w:val="20"/>
          <w:szCs w:val="20"/>
        </w:rPr>
        <w:t xml:space="preserve">, </w:t>
      </w:r>
      <w:r w:rsidR="00A26313" w:rsidRPr="00A26313">
        <w:rPr>
          <w:rFonts w:ascii="Times New Roman" w:hAnsi="Times New Roman" w:cs="Times New Roman"/>
          <w:sz w:val="20"/>
          <w:szCs w:val="20"/>
        </w:rPr>
        <w:t>MCFEE, PHILOMEN ANABELLE</w:t>
      </w:r>
      <w:r>
        <w:rPr>
          <w:rFonts w:ascii="Times New Roman" w:hAnsi="Times New Roman" w:cs="Times New Roman"/>
          <w:sz w:val="20"/>
          <w:szCs w:val="20"/>
        </w:rPr>
        <w:t>,</w:t>
      </w:r>
      <w:r w:rsidRPr="00862DD8">
        <w:rPr>
          <w:rFonts w:ascii="Times New Roman" w:hAnsi="Times New Roman" w:cs="Times New Roman"/>
          <w:sz w:val="20"/>
          <w:szCs w:val="20"/>
        </w:rPr>
        <w:t xml:space="preserve"> </w:t>
      </w:r>
      <w:r w:rsidR="007B0ED8">
        <w:rPr>
          <w:rFonts w:ascii="Times New Roman" w:hAnsi="Times New Roman" w:cs="Times New Roman"/>
          <w:sz w:val="20"/>
          <w:szCs w:val="20"/>
        </w:rPr>
        <w:t xml:space="preserve">am </w:t>
      </w:r>
      <w:r w:rsidRPr="00862DD8">
        <w:rPr>
          <w:rFonts w:ascii="Times New Roman" w:hAnsi="Times New Roman" w:cs="Times New Roman"/>
          <w:sz w:val="20"/>
          <w:szCs w:val="20"/>
        </w:rPr>
        <w:t xml:space="preserve">not the Authorized Representative nor Authorized Signatory for the repatriated </w:t>
      </w:r>
      <w:r w:rsidR="00A648F0">
        <w:rPr>
          <w:rFonts w:ascii="Times New Roman" w:hAnsi="Times New Roman" w:cs="Times New Roman"/>
          <w:sz w:val="20"/>
          <w:szCs w:val="20"/>
        </w:rPr>
        <w:t xml:space="preserve">W-2 WARRANT OFFICER, </w:t>
      </w:r>
      <w:r w:rsidRPr="00862DD8">
        <w:rPr>
          <w:rFonts w:ascii="Times New Roman" w:hAnsi="Times New Roman" w:cs="Times New Roman"/>
          <w:sz w:val="20"/>
          <w:szCs w:val="20"/>
        </w:rPr>
        <w:t xml:space="preserve">deported U.S. Citizen or Individual, </w:t>
      </w:r>
      <w:r w:rsidR="00A26313" w:rsidRPr="00A26313">
        <w:rPr>
          <w:rFonts w:ascii="Times New Roman" w:hAnsi="Times New Roman" w:cs="Times New Roman"/>
          <w:sz w:val="20"/>
          <w:szCs w:val="20"/>
        </w:rPr>
        <w:t>PHILOMEN ANABELLE</w:t>
      </w:r>
      <w:r w:rsidR="00A26313">
        <w:rPr>
          <w:rFonts w:ascii="Times New Roman" w:hAnsi="Times New Roman" w:cs="Times New Roman"/>
          <w:sz w:val="20"/>
          <w:szCs w:val="20"/>
        </w:rPr>
        <w:t xml:space="preserve"> MCFEE</w:t>
      </w:r>
      <w:r w:rsidRPr="00862DD8">
        <w:rPr>
          <w:rFonts w:ascii="Times New Roman" w:hAnsi="Times New Roman" w:cs="Times New Roman"/>
          <w:color w:val="000000" w:themeColor="text1"/>
          <w:sz w:val="20"/>
          <w:szCs w:val="20"/>
        </w:rPr>
        <w:t>, ET ALIA</w:t>
      </w:r>
      <w:r w:rsidRPr="00862DD8">
        <w:rPr>
          <w:rFonts w:ascii="Times New Roman" w:hAnsi="Times New Roman" w:cs="Times New Roman"/>
          <w:sz w:val="20"/>
          <w:szCs w:val="20"/>
        </w:rPr>
        <w:t xml:space="preserve">. Therefore, </w:t>
      </w:r>
      <w:r w:rsidR="00A648F0">
        <w:rPr>
          <w:rFonts w:ascii="Times New Roman" w:hAnsi="Times New Roman" w:cs="Times New Roman"/>
          <w:sz w:val="20"/>
          <w:szCs w:val="20"/>
        </w:rPr>
        <w:t xml:space="preserve">I </w:t>
      </w:r>
      <w:r w:rsidRPr="00862DD8">
        <w:rPr>
          <w:rFonts w:ascii="Times New Roman" w:hAnsi="Times New Roman" w:cs="Times New Roman"/>
          <w:sz w:val="20"/>
          <w:szCs w:val="20"/>
        </w:rPr>
        <w:t xml:space="preserve">cannot lawfully address this </w:t>
      </w:r>
      <w:r w:rsidR="00A648F0">
        <w:rPr>
          <w:rFonts w:ascii="Times New Roman" w:hAnsi="Times New Roman" w:cs="Times New Roman"/>
          <w:sz w:val="20"/>
          <w:szCs w:val="20"/>
        </w:rPr>
        <w:t>extralegal</w:t>
      </w:r>
      <w:r w:rsidRPr="00862DD8">
        <w:rPr>
          <w:rFonts w:ascii="Times New Roman" w:hAnsi="Times New Roman" w:cs="Times New Roman"/>
          <w:sz w:val="20"/>
          <w:szCs w:val="20"/>
        </w:rPr>
        <w:t xml:space="preserve"> tax entitled </w:t>
      </w:r>
      <w:r w:rsidRPr="00862DD8">
        <w:rPr>
          <w:rFonts w:ascii="Times New Roman" w:hAnsi="Times New Roman" w:cs="Times New Roman"/>
          <w:i/>
          <w:iCs/>
          <w:sz w:val="20"/>
          <w:szCs w:val="20"/>
        </w:rPr>
        <w:t xml:space="preserve">ex </w:t>
      </w:r>
      <w:proofErr w:type="spellStart"/>
      <w:r w:rsidRPr="00862DD8">
        <w:rPr>
          <w:rFonts w:ascii="Times New Roman" w:hAnsi="Times New Roman" w:cs="Times New Roman"/>
          <w:i/>
          <w:iCs/>
          <w:sz w:val="20"/>
          <w:szCs w:val="20"/>
        </w:rPr>
        <w:t>parteapplication</w:t>
      </w:r>
      <w:proofErr w:type="spellEnd"/>
      <w:r w:rsidRPr="00862DD8">
        <w:rPr>
          <w:rFonts w:ascii="Times New Roman" w:hAnsi="Times New Roman" w:cs="Times New Roman"/>
          <w:sz w:val="20"/>
          <w:szCs w:val="20"/>
        </w:rPr>
        <w:t>. This holds true for all indigenous people and private Americans.</w:t>
      </w:r>
      <w:r w:rsidRPr="00DB58C6">
        <w:rPr>
          <w:rFonts w:ascii="Times New Roman" w:hAnsi="Times New Roman" w:cs="Times New Roman"/>
          <w:sz w:val="20"/>
          <w:szCs w:val="20"/>
        </w:rPr>
        <w:t xml:space="preserve"> </w:t>
      </w:r>
    </w:p>
    <w:p w14:paraId="3A52A38B" w14:textId="7FA6AF48" w:rsidR="00FD0CEA"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With the </w:t>
      </w:r>
      <w:r w:rsidR="007B0ED8">
        <w:rPr>
          <w:rFonts w:ascii="Times New Roman" w:hAnsi="Times New Roman" w:cs="Times New Roman"/>
          <w:sz w:val="20"/>
          <w:szCs w:val="20"/>
        </w:rPr>
        <w:t>deposit</w:t>
      </w:r>
      <w:r w:rsidRPr="00DB58C6">
        <w:rPr>
          <w:rFonts w:ascii="Times New Roman" w:hAnsi="Times New Roman" w:cs="Times New Roman"/>
          <w:sz w:val="20"/>
          <w:szCs w:val="20"/>
        </w:rPr>
        <w:t xml:space="preserve"> of this DEMAND</w:t>
      </w:r>
      <w:r w:rsidR="007B0ED8">
        <w:rPr>
          <w:rFonts w:ascii="Times New Roman" w:hAnsi="Times New Roman" w:cs="Times New Roman"/>
          <w:sz w:val="20"/>
          <w:szCs w:val="20"/>
        </w:rPr>
        <w:t>,</w:t>
      </w:r>
      <w:r w:rsidRPr="00DB58C6">
        <w:rPr>
          <w:rFonts w:ascii="Times New Roman" w:hAnsi="Times New Roman" w:cs="Times New Roman"/>
          <w:sz w:val="20"/>
          <w:szCs w:val="20"/>
        </w:rPr>
        <w:t xml:space="preserve"> </w:t>
      </w:r>
      <w:r>
        <w:rPr>
          <w:rFonts w:ascii="Times New Roman" w:hAnsi="Times New Roman" w:cs="Times New Roman"/>
          <w:sz w:val="20"/>
          <w:szCs w:val="20"/>
        </w:rPr>
        <w:t xml:space="preserve">a COMMAND </w:t>
      </w:r>
      <w:r w:rsidRPr="00DB58C6">
        <w:rPr>
          <w:rFonts w:ascii="Times New Roman" w:hAnsi="Times New Roman" w:cs="Times New Roman"/>
          <w:sz w:val="20"/>
          <w:szCs w:val="20"/>
        </w:rPr>
        <w:t>is herein being made to immediately bring ALL involved parties into the presence of LEX JUSTICE, to answer for t</w:t>
      </w:r>
      <w:r>
        <w:rPr>
          <w:rFonts w:ascii="Times New Roman" w:hAnsi="Times New Roman" w:cs="Times New Roman"/>
          <w:sz w:val="20"/>
          <w:szCs w:val="20"/>
        </w:rPr>
        <w:t>heir</w:t>
      </w:r>
      <w:r w:rsidRPr="00DB58C6">
        <w:rPr>
          <w:rFonts w:ascii="Times New Roman" w:hAnsi="Times New Roman" w:cs="Times New Roman"/>
          <w:sz w:val="20"/>
          <w:szCs w:val="20"/>
        </w:rPr>
        <w:t xml:space="preserve"> </w:t>
      </w:r>
      <w:r w:rsidR="007B0ED8">
        <w:rPr>
          <w:rFonts w:ascii="Times New Roman" w:hAnsi="Times New Roman" w:cs="Times New Roman"/>
          <w:sz w:val="20"/>
          <w:szCs w:val="20"/>
        </w:rPr>
        <w:t xml:space="preserve">violations of my freewill right not to contract via their </w:t>
      </w:r>
      <w:r w:rsidRPr="00DB58C6">
        <w:rPr>
          <w:rFonts w:ascii="Times New Roman" w:hAnsi="Times New Roman" w:cs="Times New Roman"/>
          <w:b/>
          <w:bCs/>
          <w:i/>
          <w:iCs/>
          <w:sz w:val="20"/>
          <w:szCs w:val="20"/>
        </w:rPr>
        <w:t xml:space="preserve">ex </w:t>
      </w:r>
      <w:proofErr w:type="spellStart"/>
      <w:r w:rsidRPr="00DB58C6">
        <w:rPr>
          <w:rFonts w:ascii="Times New Roman" w:hAnsi="Times New Roman" w:cs="Times New Roman"/>
          <w:b/>
          <w:bCs/>
          <w:i/>
          <w:iCs/>
          <w:sz w:val="20"/>
          <w:szCs w:val="20"/>
        </w:rPr>
        <w:t>parteapplication</w:t>
      </w:r>
      <w:r w:rsidR="007B0ED8">
        <w:rPr>
          <w:rFonts w:ascii="Times New Roman" w:hAnsi="Times New Roman" w:cs="Times New Roman"/>
          <w:b/>
          <w:bCs/>
          <w:i/>
          <w:iCs/>
          <w:sz w:val="20"/>
          <w:szCs w:val="20"/>
        </w:rPr>
        <w:t>s</w:t>
      </w:r>
      <w:proofErr w:type="spellEnd"/>
      <w:r w:rsidRPr="00DB58C6">
        <w:rPr>
          <w:rFonts w:ascii="Times New Roman" w:hAnsi="Times New Roman" w:cs="Times New Roman"/>
          <w:sz w:val="20"/>
          <w:szCs w:val="20"/>
        </w:rPr>
        <w:t xml:space="preserve">, legal </w:t>
      </w:r>
      <w:proofErr w:type="gramStart"/>
      <w:r w:rsidRPr="00DB58C6">
        <w:rPr>
          <w:rFonts w:ascii="Times New Roman" w:hAnsi="Times New Roman" w:cs="Times New Roman"/>
          <w:sz w:val="20"/>
          <w:szCs w:val="20"/>
        </w:rPr>
        <w:t>gaslighting</w:t>
      </w:r>
      <w:proofErr w:type="gramEnd"/>
      <w:r w:rsidRPr="00DB58C6">
        <w:rPr>
          <w:rFonts w:ascii="Times New Roman" w:hAnsi="Times New Roman" w:cs="Times New Roman"/>
          <w:sz w:val="20"/>
          <w:szCs w:val="20"/>
        </w:rPr>
        <w:t>, legal obfuscations and semantic deceits,</w:t>
      </w:r>
      <w:r w:rsidRPr="00DB58C6">
        <w:rPr>
          <w:rFonts w:ascii="Times New Roman" w:hAnsi="Times New Roman" w:cs="Times New Roman"/>
          <w:b/>
          <w:bCs/>
          <w:sz w:val="20"/>
          <w:szCs w:val="20"/>
        </w:rPr>
        <w:t xml:space="preserve"> </w:t>
      </w:r>
      <w:r w:rsidRPr="00DB58C6">
        <w:rPr>
          <w:rFonts w:ascii="Times New Roman" w:hAnsi="Times New Roman" w:cs="Times New Roman"/>
          <w:sz w:val="20"/>
          <w:szCs w:val="20"/>
        </w:rPr>
        <w:t>along with damages</w:t>
      </w:r>
      <w:r w:rsidR="007B0ED8">
        <w:rPr>
          <w:rFonts w:ascii="Times New Roman" w:hAnsi="Times New Roman" w:cs="Times New Roman"/>
          <w:sz w:val="20"/>
          <w:szCs w:val="20"/>
        </w:rPr>
        <w:t>.</w:t>
      </w:r>
    </w:p>
    <w:p w14:paraId="6E30A517" w14:textId="77777777" w:rsidR="007B0ED8" w:rsidRDefault="007B0ED8" w:rsidP="007B0ED8">
      <w:pPr>
        <w:jc w:val="center"/>
        <w:rPr>
          <w:rFonts w:ascii="Times New Roman" w:hAnsi="Times New Roman" w:cs="Times New Roman"/>
          <w:sz w:val="20"/>
          <w:szCs w:val="20"/>
        </w:rPr>
      </w:pPr>
      <w:r w:rsidRPr="0099165F">
        <w:rPr>
          <w:rFonts w:ascii="Times New Roman" w:hAnsi="Times New Roman" w:cs="Times New Roman"/>
          <w:sz w:val="20"/>
          <w:szCs w:val="20"/>
        </w:rPr>
        <w:t>For nothing is secret, that shall not be made manifest; neither anything hid, that shall not be known and come abroad.</w:t>
      </w:r>
      <w:r>
        <w:rPr>
          <w:rFonts w:ascii="Times New Roman" w:hAnsi="Times New Roman" w:cs="Times New Roman"/>
          <w:sz w:val="20"/>
          <w:szCs w:val="20"/>
        </w:rPr>
        <w:t xml:space="preserve"> – Luke: 8:17 </w:t>
      </w:r>
    </w:p>
    <w:p w14:paraId="5E4F1DD6" w14:textId="389F59FD" w:rsidR="00FD0CEA"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I AM: </w:t>
      </w:r>
      <w:r w:rsidR="00A26313">
        <w:rPr>
          <w:rFonts w:ascii="Times New Roman" w:hAnsi="Times New Roman" w:cs="Times New Roman"/>
          <w:i/>
          <w:iCs/>
          <w:color w:val="000000" w:themeColor="text1"/>
          <w:sz w:val="20"/>
          <w:szCs w:val="20"/>
        </w:rPr>
        <w:t>Philomen-Anabelle: McFee</w:t>
      </w:r>
      <w:r w:rsidRPr="00DB58C6">
        <w:rPr>
          <w:rFonts w:ascii="Times New Roman" w:hAnsi="Times New Roman" w:cs="Times New Roman"/>
          <w:sz w:val="20"/>
          <w:szCs w:val="20"/>
        </w:rPr>
        <w:t xml:space="preserve">©; </w:t>
      </w:r>
      <w:r>
        <w:rPr>
          <w:rFonts w:ascii="Times New Roman" w:hAnsi="Times New Roman" w:cs="Times New Roman"/>
          <w:sz w:val="20"/>
          <w:szCs w:val="20"/>
        </w:rPr>
        <w:t>and I come forth as advocate for the federally recognized tax-exempt organization doing business as,</w:t>
      </w:r>
      <w:r w:rsidRPr="00DB58C6">
        <w:rPr>
          <w:rFonts w:ascii="Times New Roman" w:hAnsi="Times New Roman" w:cs="Times New Roman"/>
          <w:sz w:val="20"/>
          <w:szCs w:val="20"/>
        </w:rPr>
        <w:t xml:space="preserve"> </w:t>
      </w:r>
      <w:r w:rsidR="00A26313" w:rsidRPr="00A26313">
        <w:rPr>
          <w:rFonts w:ascii="Times New Roman" w:hAnsi="Times New Roman" w:cs="Times New Roman"/>
          <w:sz w:val="20"/>
          <w:szCs w:val="20"/>
        </w:rPr>
        <w:t>MCFEE, PHILOMEN ANABELLE</w:t>
      </w:r>
      <w:r>
        <w:rPr>
          <w:rFonts w:ascii="Times New Roman" w:hAnsi="Times New Roman" w:cs="Times New Roman"/>
          <w:sz w:val="20"/>
          <w:szCs w:val="20"/>
        </w:rPr>
        <w:t xml:space="preserve">; </w:t>
      </w:r>
      <w:r w:rsidRPr="00DB58C6">
        <w:rPr>
          <w:rFonts w:ascii="Times New Roman" w:hAnsi="Times New Roman" w:cs="Times New Roman"/>
          <w:sz w:val="20"/>
          <w:szCs w:val="20"/>
        </w:rPr>
        <w:t>without any Legislative or Civil Disability</w:t>
      </w:r>
      <w:r w:rsidR="00935BF2">
        <w:rPr>
          <w:rFonts w:ascii="Times New Roman" w:hAnsi="Times New Roman" w:cs="Times New Roman"/>
          <w:sz w:val="20"/>
          <w:szCs w:val="20"/>
        </w:rPr>
        <w:t>.</w:t>
      </w:r>
    </w:p>
    <w:p w14:paraId="7FD822AD" w14:textId="77777777" w:rsidR="00935BF2" w:rsidRDefault="00935BF2" w:rsidP="00935BF2">
      <w:pPr>
        <w:jc w:val="right"/>
        <w:rPr>
          <w:rFonts w:ascii="Times New Roman" w:hAnsi="Times New Roman" w:cs="Times New Roman"/>
          <w:sz w:val="20"/>
          <w:szCs w:val="20"/>
        </w:rPr>
      </w:pPr>
      <w:r w:rsidRPr="00DB58C6">
        <w:rPr>
          <w:rFonts w:ascii="Times New Roman" w:hAnsi="Times New Roman" w:cs="Times New Roman"/>
          <w:sz w:val="20"/>
          <w:szCs w:val="20"/>
        </w:rPr>
        <w:t>Date: _____/___</w:t>
      </w:r>
      <w:proofErr w:type="gramStart"/>
      <w:r w:rsidRPr="00DB58C6">
        <w:rPr>
          <w:rFonts w:ascii="Times New Roman" w:hAnsi="Times New Roman" w:cs="Times New Roman"/>
          <w:sz w:val="20"/>
          <w:szCs w:val="20"/>
        </w:rPr>
        <w:t>__/</w:t>
      </w:r>
      <w:proofErr w:type="gramEnd"/>
      <w:r w:rsidRPr="00DB58C6">
        <w:rPr>
          <w:rFonts w:ascii="Times New Roman" w:hAnsi="Times New Roman" w:cs="Times New Roman"/>
          <w:sz w:val="20"/>
          <w:szCs w:val="20"/>
        </w:rPr>
        <w:t>202</w:t>
      </w:r>
      <w:r>
        <w:rPr>
          <w:rFonts w:ascii="Times New Roman" w:hAnsi="Times New Roman" w:cs="Times New Roman"/>
          <w:sz w:val="20"/>
          <w:szCs w:val="20"/>
        </w:rPr>
        <w:t>6</w:t>
      </w:r>
      <w:r w:rsidRPr="00DB58C6">
        <w:rPr>
          <w:rFonts w:ascii="Times New Roman" w:hAnsi="Times New Roman" w:cs="Times New Roman"/>
          <w:sz w:val="20"/>
          <w:szCs w:val="20"/>
        </w:rPr>
        <w:t>.</w:t>
      </w:r>
    </w:p>
    <w:p w14:paraId="07B180A6" w14:textId="262F549B" w:rsidR="00FD0CEA" w:rsidRDefault="00FD0CEA" w:rsidP="00FD0CEA">
      <w:pPr>
        <w:jc w:val="center"/>
        <w:rPr>
          <w:rFonts w:ascii="Times New Roman" w:hAnsi="Times New Roman" w:cs="Times New Roman"/>
          <w:sz w:val="20"/>
          <w:szCs w:val="20"/>
          <w:u w:val="single"/>
        </w:rPr>
      </w:pPr>
      <w:r w:rsidRPr="00403706">
        <w:rPr>
          <w:rFonts w:ascii="Times New Roman" w:hAnsi="Times New Roman" w:cs="Times New Roman"/>
          <w:sz w:val="20"/>
          <w:szCs w:val="20"/>
        </w:rPr>
        <w:t>By: _________©</w:t>
      </w:r>
      <w:r>
        <w:rPr>
          <w:rFonts w:ascii="Times New Roman" w:hAnsi="Times New Roman" w:cs="Times New Roman"/>
          <w:sz w:val="20"/>
          <w:szCs w:val="20"/>
        </w:rPr>
        <w:t xml:space="preserve"> </w:t>
      </w:r>
      <w:r>
        <w:rPr>
          <w:rFonts w:ascii="Times New Roman" w:hAnsi="Times New Roman" w:cs="Times New Roman"/>
          <w:i/>
          <w:iCs/>
          <w:sz w:val="20"/>
          <w:szCs w:val="20"/>
        </w:rPr>
        <w:t>Seal</w:t>
      </w:r>
      <w:r w:rsidRPr="00403706">
        <w:rPr>
          <w:rFonts w:ascii="Times New Roman" w:hAnsi="Times New Roman" w:cs="Times New Roman"/>
          <w:sz w:val="20"/>
          <w:szCs w:val="20"/>
        </w:rPr>
        <w:t xml:space="preserve">; sui juris – </w:t>
      </w:r>
      <w:r w:rsidR="00A26313" w:rsidRPr="004923E7">
        <w:rPr>
          <w:rFonts w:ascii="Times New Roman" w:hAnsi="Times New Roman" w:cs="Times New Roman"/>
          <w:sz w:val="20"/>
          <w:szCs w:val="20"/>
          <w:u w:val="single"/>
        </w:rPr>
        <w:t>P.A.M</w:t>
      </w:r>
      <w:r w:rsidRPr="004923E7">
        <w:rPr>
          <w:rFonts w:ascii="Times New Roman" w:hAnsi="Times New Roman" w:cs="Times New Roman"/>
          <w:sz w:val="20"/>
          <w:szCs w:val="20"/>
          <w:u w:val="single"/>
        </w:rPr>
        <w:t>.</w:t>
      </w:r>
    </w:p>
    <w:p w14:paraId="78E185A5" w14:textId="77777777" w:rsidR="006E53D1" w:rsidRPr="004923E7" w:rsidRDefault="006E53D1">
      <w:pPr>
        <w:rPr>
          <w:rFonts w:ascii="Times New Roman" w:hAnsi="Times New Roman" w:cs="Times New Roman"/>
          <w:sz w:val="2"/>
          <w:szCs w:val="2"/>
        </w:rPr>
      </w:pPr>
    </w:p>
    <w:p w14:paraId="3BEC844A" w14:textId="5BF6F401" w:rsidR="0072224A" w:rsidRDefault="001001B9" w:rsidP="0072224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EXPLANATION</w:t>
      </w:r>
    </w:p>
    <w:p w14:paraId="17D4FAE0" w14:textId="3520482B" w:rsidR="001001B9" w:rsidRPr="004923E7" w:rsidRDefault="001001B9" w:rsidP="0072224A">
      <w:pPr>
        <w:jc w:val="both"/>
        <w:rPr>
          <w:rFonts w:ascii="Times New Roman" w:hAnsi="Times New Roman" w:cs="Times New Roman"/>
          <w:b/>
          <w:bCs/>
          <w:sz w:val="16"/>
          <w:szCs w:val="16"/>
        </w:rPr>
      </w:pPr>
      <w:r w:rsidRPr="004923E7">
        <w:rPr>
          <w:rFonts w:ascii="Times New Roman" w:hAnsi="Times New Roman" w:cs="Times New Roman"/>
          <w:b/>
          <w:bCs/>
          <w:sz w:val="16"/>
          <w:szCs w:val="16"/>
        </w:rPr>
        <w:t>HYBRID L3C Defined:</w:t>
      </w:r>
      <w:r w:rsidR="006E53D1" w:rsidRPr="004923E7">
        <w:rPr>
          <w:rFonts w:ascii="Times New Roman" w:hAnsi="Times New Roman" w:cs="Times New Roman"/>
          <w:b/>
          <w:bCs/>
          <w:sz w:val="16"/>
          <w:szCs w:val="16"/>
        </w:rPr>
        <w:t xml:space="preserve"> </w:t>
      </w:r>
      <w:r w:rsidR="006E53D1" w:rsidRPr="004923E7">
        <w:rPr>
          <w:rFonts w:ascii="Times New Roman" w:hAnsi="Times New Roman" w:cs="Times New Roman"/>
          <w:sz w:val="16"/>
          <w:szCs w:val="16"/>
        </w:rPr>
        <w:t>The default United States corporate structure.</w:t>
      </w:r>
      <w:r w:rsidR="006E53D1" w:rsidRPr="004923E7">
        <w:rPr>
          <w:rFonts w:ascii="Times New Roman" w:hAnsi="Times New Roman" w:cs="Times New Roman"/>
          <w:b/>
          <w:bCs/>
          <w:sz w:val="16"/>
          <w:szCs w:val="16"/>
        </w:rPr>
        <w:t xml:space="preserve"> </w:t>
      </w:r>
    </w:p>
    <w:p w14:paraId="579CAD75" w14:textId="7669E930" w:rsidR="00A435A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A low-profit limited liability company (</w:t>
      </w:r>
      <w:r w:rsidRPr="004923E7">
        <w:rPr>
          <w:rFonts w:ascii="Times New Roman" w:hAnsi="Times New Roman" w:cs="Times New Roman"/>
          <w:b/>
          <w:bCs/>
          <w:sz w:val="16"/>
          <w:szCs w:val="16"/>
        </w:rPr>
        <w:t>L3C</w:t>
      </w:r>
      <w:r w:rsidRPr="004923E7">
        <w:rPr>
          <w:rFonts w:ascii="Times New Roman" w:hAnsi="Times New Roman" w:cs="Times New Roman"/>
          <w:sz w:val="16"/>
          <w:szCs w:val="16"/>
        </w:rPr>
        <w:t xml:space="preserve">) is a legal form of business entity in the </w:t>
      </w:r>
      <w:r w:rsidRPr="004923E7">
        <w:rPr>
          <w:rFonts w:ascii="Times New Roman" w:hAnsi="Times New Roman" w:cs="Times New Roman"/>
          <w:b/>
          <w:bCs/>
          <w:sz w:val="16"/>
          <w:szCs w:val="16"/>
        </w:rPr>
        <w:t>United States.</w:t>
      </w:r>
      <w:r w:rsidRPr="004923E7">
        <w:rPr>
          <w:rFonts w:ascii="Times New Roman" w:hAnsi="Times New Roman" w:cs="Times New Roman"/>
          <w:sz w:val="16"/>
          <w:szCs w:val="16"/>
        </w:rPr>
        <w:t xml:space="preserve"> Commonly referred to as a hybrid structure, it has characteristics of both for-</w:t>
      </w:r>
      <w:r w:rsidRPr="004923E7">
        <w:rPr>
          <w:rFonts w:ascii="Times New Roman" w:hAnsi="Times New Roman" w:cs="Times New Roman"/>
          <w:b/>
          <w:bCs/>
          <w:sz w:val="16"/>
          <w:szCs w:val="16"/>
        </w:rPr>
        <w:t xml:space="preserve">profit </w:t>
      </w:r>
      <w:r w:rsidRPr="004923E7">
        <w:rPr>
          <w:rFonts w:ascii="Times New Roman" w:hAnsi="Times New Roman" w:cs="Times New Roman"/>
          <w:sz w:val="16"/>
          <w:szCs w:val="16"/>
        </w:rPr>
        <w:t>and non-</w:t>
      </w:r>
      <w:r w:rsidRPr="004923E7">
        <w:rPr>
          <w:rFonts w:ascii="Times New Roman" w:hAnsi="Times New Roman" w:cs="Times New Roman"/>
          <w:b/>
          <w:bCs/>
          <w:sz w:val="16"/>
          <w:szCs w:val="16"/>
        </w:rPr>
        <w:t>profit</w:t>
      </w:r>
      <w:r w:rsidRPr="004923E7">
        <w:rPr>
          <w:rFonts w:ascii="Times New Roman" w:hAnsi="Times New Roman" w:cs="Times New Roman"/>
          <w:sz w:val="16"/>
          <w:szCs w:val="16"/>
        </w:rPr>
        <w:t xml:space="preserve"> entities.</w:t>
      </w:r>
    </w:p>
    <w:p w14:paraId="779A43EE" w14:textId="2775A96B" w:rsidR="00A435A5" w:rsidRPr="004923E7" w:rsidRDefault="00FD0CEA" w:rsidP="00A435A5">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L3Cs were created to comply with the Internal Revenue Service (IRS) </w:t>
      </w:r>
      <w:r w:rsidRPr="004923E7">
        <w:rPr>
          <w:rFonts w:ascii="Times New Roman" w:hAnsi="Times New Roman" w:cs="Times New Roman"/>
          <w:b/>
          <w:bCs/>
          <w:sz w:val="16"/>
          <w:szCs w:val="16"/>
        </w:rPr>
        <w:t>program-related investments</w:t>
      </w:r>
      <w:r w:rsidRPr="004923E7">
        <w:rPr>
          <w:rFonts w:ascii="Times New Roman" w:hAnsi="Times New Roman" w:cs="Times New Roman"/>
          <w:sz w:val="16"/>
          <w:szCs w:val="16"/>
        </w:rPr>
        <w:t xml:space="preserve"> (PRIs) rules which allow most typically </w:t>
      </w:r>
      <w:r w:rsidRPr="004923E7">
        <w:rPr>
          <w:rFonts w:ascii="Times New Roman" w:hAnsi="Times New Roman" w:cs="Times New Roman"/>
          <w:b/>
          <w:bCs/>
          <w:sz w:val="16"/>
          <w:szCs w:val="16"/>
        </w:rPr>
        <w:t>private foundations</w:t>
      </w:r>
      <w:r w:rsidRPr="004923E7">
        <w:rPr>
          <w:rFonts w:ascii="Times New Roman" w:hAnsi="Times New Roman" w:cs="Times New Roman"/>
          <w:sz w:val="16"/>
          <w:szCs w:val="16"/>
        </w:rPr>
        <w:t xml:space="preserve"> the ability to maintain </w:t>
      </w:r>
      <w:r w:rsidRPr="004923E7">
        <w:rPr>
          <w:rFonts w:ascii="Times New Roman" w:hAnsi="Times New Roman" w:cs="Times New Roman"/>
          <w:b/>
          <w:bCs/>
          <w:sz w:val="16"/>
          <w:szCs w:val="16"/>
        </w:rPr>
        <w:t>tax-exempt status</w:t>
      </w:r>
      <w:r w:rsidRPr="004923E7">
        <w:rPr>
          <w:rFonts w:ascii="Times New Roman" w:hAnsi="Times New Roman" w:cs="Times New Roman"/>
          <w:sz w:val="16"/>
          <w:szCs w:val="16"/>
        </w:rPr>
        <w:t xml:space="preserve"> through investments in qualifying businesses and/or charities.</w:t>
      </w:r>
    </w:p>
    <w:p w14:paraId="664B2B13" w14:textId="77777777" w:rsidR="00EF5221"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With a social mission as the primary objective and a secondary objective of </w:t>
      </w:r>
      <w:r w:rsidRPr="004923E7">
        <w:rPr>
          <w:rFonts w:ascii="Times New Roman" w:hAnsi="Times New Roman" w:cs="Times New Roman"/>
          <w:b/>
          <w:bCs/>
          <w:sz w:val="16"/>
          <w:szCs w:val="16"/>
        </w:rPr>
        <w:t>profit generation</w:t>
      </w:r>
      <w:r w:rsidRPr="004923E7">
        <w:rPr>
          <w:rFonts w:ascii="Times New Roman" w:hAnsi="Times New Roman" w:cs="Times New Roman"/>
          <w:sz w:val="16"/>
          <w:szCs w:val="16"/>
        </w:rPr>
        <w:t>, the L3C legal form is considered a viable option for businesses seeking a reputation or marketability as a social enterprise.</w:t>
      </w:r>
      <w:r w:rsidR="00A435A5" w:rsidRPr="004923E7">
        <w:rPr>
          <w:rFonts w:ascii="Times New Roman" w:hAnsi="Times New Roman" w:cs="Times New Roman"/>
          <w:sz w:val="16"/>
          <w:szCs w:val="16"/>
        </w:rPr>
        <w:t xml:space="preserve"> </w:t>
      </w:r>
    </w:p>
    <w:p w14:paraId="383BDA90" w14:textId="0162985D" w:rsidR="00FD0CEA" w:rsidRPr="004923E7" w:rsidRDefault="00A435A5" w:rsidP="00EF522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A </w:t>
      </w:r>
      <w:r w:rsidRPr="004923E7">
        <w:rPr>
          <w:rFonts w:ascii="Times New Roman" w:hAnsi="Times New Roman" w:cs="Times New Roman"/>
          <w:b/>
          <w:bCs/>
          <w:sz w:val="16"/>
          <w:szCs w:val="16"/>
        </w:rPr>
        <w:t>social enterprise</w:t>
      </w:r>
      <w:r w:rsidRPr="004923E7">
        <w:rPr>
          <w:rFonts w:ascii="Times New Roman" w:hAnsi="Times New Roman" w:cs="Times New Roman"/>
          <w:sz w:val="16"/>
          <w:szCs w:val="16"/>
        </w:rPr>
        <w:t xml:space="preserve"> is an </w:t>
      </w:r>
      <w:r w:rsidR="00EF5221" w:rsidRPr="004923E7">
        <w:rPr>
          <w:rFonts w:ascii="Times New Roman" w:hAnsi="Times New Roman" w:cs="Times New Roman"/>
          <w:sz w:val="16"/>
          <w:szCs w:val="16"/>
        </w:rPr>
        <w:t>organization</w:t>
      </w:r>
      <w:r w:rsidRPr="004923E7">
        <w:rPr>
          <w:rFonts w:ascii="Times New Roman" w:hAnsi="Times New Roman" w:cs="Times New Roman"/>
          <w:sz w:val="16"/>
          <w:szCs w:val="16"/>
        </w:rPr>
        <w:t xml:space="preserve"> that applies commercial strategies to </w:t>
      </w:r>
      <w:r w:rsidR="00EF5221" w:rsidRPr="004923E7">
        <w:rPr>
          <w:rFonts w:ascii="Times New Roman" w:hAnsi="Times New Roman" w:cs="Times New Roman"/>
          <w:sz w:val="16"/>
          <w:szCs w:val="16"/>
        </w:rPr>
        <w:t>maximize</w:t>
      </w:r>
      <w:r w:rsidRPr="004923E7">
        <w:rPr>
          <w:rFonts w:ascii="Times New Roman" w:hAnsi="Times New Roman" w:cs="Times New Roman"/>
          <w:sz w:val="16"/>
          <w:szCs w:val="16"/>
        </w:rPr>
        <w:t xml:space="preserve"> improvements in financial, social and environmental well-being. Profit made through fundraising or the sale of products is reinvested in the </w:t>
      </w:r>
      <w:r w:rsidR="00EF5221" w:rsidRPr="004923E7">
        <w:rPr>
          <w:rFonts w:ascii="Times New Roman" w:hAnsi="Times New Roman" w:cs="Times New Roman"/>
          <w:sz w:val="16"/>
          <w:szCs w:val="16"/>
        </w:rPr>
        <w:t>organization’s</w:t>
      </w:r>
      <w:r w:rsidRPr="004923E7">
        <w:rPr>
          <w:rFonts w:ascii="Times New Roman" w:hAnsi="Times New Roman" w:cs="Times New Roman"/>
          <w:sz w:val="16"/>
          <w:szCs w:val="16"/>
        </w:rPr>
        <w:t xml:space="preserve"> mission, making them more sustainable than a non-profit </w:t>
      </w:r>
      <w:r w:rsidR="00EF5221" w:rsidRPr="004923E7">
        <w:rPr>
          <w:rFonts w:ascii="Times New Roman" w:hAnsi="Times New Roman" w:cs="Times New Roman"/>
          <w:sz w:val="16"/>
          <w:szCs w:val="16"/>
        </w:rPr>
        <w:t>organization</w:t>
      </w:r>
      <w:r w:rsidRPr="004923E7">
        <w:rPr>
          <w:rFonts w:ascii="Times New Roman" w:hAnsi="Times New Roman" w:cs="Times New Roman"/>
          <w:sz w:val="16"/>
          <w:szCs w:val="16"/>
        </w:rPr>
        <w:t xml:space="preserve"> that may solely rely on grant money, donations or government policies.</w:t>
      </w:r>
      <w:r w:rsidR="00EF5221" w:rsidRPr="004923E7">
        <w:rPr>
          <w:rFonts w:ascii="Times New Roman" w:hAnsi="Times New Roman" w:cs="Times New Roman"/>
          <w:sz w:val="16"/>
          <w:szCs w:val="16"/>
        </w:rPr>
        <w:t xml:space="preserve"> </w:t>
      </w:r>
      <w:r w:rsidRPr="004923E7">
        <w:rPr>
          <w:rFonts w:ascii="Times New Roman" w:hAnsi="Times New Roman" w:cs="Times New Roman"/>
          <w:sz w:val="16"/>
          <w:szCs w:val="16"/>
        </w:rPr>
        <w:t xml:space="preserve">A social enterprise's main purpose is to promote, encourage, and make social change in a financially sustainable way. Unlike conventional businesses, social enterprises embed social or environmental goals into their core objectives while maintaining financial sustainability. They aim to create social </w:t>
      </w:r>
      <w:proofErr w:type="gramStart"/>
      <w:r w:rsidRPr="004923E7">
        <w:rPr>
          <w:rFonts w:ascii="Times New Roman" w:hAnsi="Times New Roman" w:cs="Times New Roman"/>
          <w:sz w:val="16"/>
          <w:szCs w:val="16"/>
        </w:rPr>
        <w:t>value</w:t>
      </w:r>
      <w:proofErr w:type="gramEnd"/>
      <w:r w:rsidRPr="004923E7">
        <w:rPr>
          <w:rFonts w:ascii="Times New Roman" w:hAnsi="Times New Roman" w:cs="Times New Roman"/>
          <w:sz w:val="16"/>
          <w:szCs w:val="16"/>
        </w:rPr>
        <w:t xml:space="preserve"> while generating income, reinvesting profits into their mission rather than relying solely on philanthropy. Social enterprises can provide income-generating opportunities to address basic needs, particularly for people living in poverty. They combine financial viability with a social purpose and can expand or replicate their models to increase impact. They are often considered more sustainable than non-profit </w:t>
      </w:r>
      <w:proofErr w:type="spellStart"/>
      <w:proofErr w:type="gramStart"/>
      <w:r w:rsidR="00EF5221" w:rsidRPr="004923E7">
        <w:rPr>
          <w:rFonts w:ascii="Times New Roman" w:hAnsi="Times New Roman" w:cs="Times New Roman"/>
          <w:sz w:val="16"/>
          <w:szCs w:val="16"/>
        </w:rPr>
        <w:t>organization’s</w:t>
      </w:r>
      <w:proofErr w:type="spellEnd"/>
      <w:proofErr w:type="gramEnd"/>
      <w:r w:rsidRPr="004923E7">
        <w:rPr>
          <w:rFonts w:ascii="Times New Roman" w:hAnsi="Times New Roman" w:cs="Times New Roman"/>
          <w:sz w:val="16"/>
          <w:szCs w:val="16"/>
        </w:rPr>
        <w:t>, which may rely heavily on donations or government support.</w:t>
      </w:r>
    </w:p>
    <w:p w14:paraId="5FE78DCF" w14:textId="0036641D"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The L3C structure was designed by Robert M. Lang, Jr., who was the CEO of a </w:t>
      </w:r>
      <w:r w:rsidRPr="004923E7">
        <w:rPr>
          <w:rFonts w:ascii="Times New Roman" w:hAnsi="Times New Roman" w:cs="Times New Roman"/>
          <w:b/>
          <w:bCs/>
          <w:sz w:val="16"/>
          <w:szCs w:val="16"/>
        </w:rPr>
        <w:t>New York-based family foundation</w:t>
      </w:r>
      <w:r w:rsidRPr="004923E7">
        <w:rPr>
          <w:rFonts w:ascii="Times New Roman" w:hAnsi="Times New Roman" w:cs="Times New Roman"/>
          <w:sz w:val="16"/>
          <w:szCs w:val="16"/>
        </w:rPr>
        <w:t>. Lang developed the structure as a way for foundations to clear tax and regulatory hurdles when it came to donations. With the first L3C statute being enacted in 2008, L3Cs are considered a relatively young legal form of business entity. In 2013, there were 711 L3Cs throughout the United States and by 2020 there were 1,700 L3Cs.</w:t>
      </w:r>
      <w:r w:rsidR="00EF5221" w:rsidRPr="004923E7">
        <w:rPr>
          <w:rFonts w:ascii="Times New Roman" w:hAnsi="Times New Roman" w:cs="Times New Roman"/>
          <w:sz w:val="16"/>
          <w:szCs w:val="16"/>
        </w:rPr>
        <w:t xml:space="preserve"> </w:t>
      </w:r>
    </w:p>
    <w:p w14:paraId="52C1FDC6" w14:textId="77777777" w:rsidR="00EF5221" w:rsidRPr="004923E7" w:rsidRDefault="00FD0CEA" w:rsidP="00EF522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An L3C is a for-</w:t>
      </w:r>
      <w:r w:rsidRPr="004923E7">
        <w:rPr>
          <w:rFonts w:ascii="Times New Roman" w:hAnsi="Times New Roman" w:cs="Times New Roman"/>
          <w:b/>
          <w:bCs/>
          <w:sz w:val="16"/>
          <w:szCs w:val="16"/>
        </w:rPr>
        <w:t>profit</w:t>
      </w:r>
      <w:r w:rsidRPr="004923E7">
        <w:rPr>
          <w:rFonts w:ascii="Times New Roman" w:hAnsi="Times New Roman" w:cs="Times New Roman"/>
          <w:sz w:val="16"/>
          <w:szCs w:val="16"/>
        </w:rPr>
        <w:t xml:space="preserve">, social enterprise venture that has a primary goal of performing a socially beneficial purpose with a secondary goal of maximizing profits. It is a hybrid structure that combines the legal and tax flexibility of a </w:t>
      </w:r>
      <w:r w:rsidRPr="004923E7">
        <w:rPr>
          <w:rFonts w:ascii="Times New Roman" w:hAnsi="Times New Roman" w:cs="Times New Roman"/>
          <w:b/>
          <w:bCs/>
          <w:sz w:val="16"/>
          <w:szCs w:val="16"/>
        </w:rPr>
        <w:t>traditional LLC</w:t>
      </w:r>
      <w:r w:rsidRPr="004923E7">
        <w:rPr>
          <w:rFonts w:ascii="Times New Roman" w:hAnsi="Times New Roman" w:cs="Times New Roman"/>
          <w:sz w:val="16"/>
          <w:szCs w:val="16"/>
        </w:rPr>
        <w:t>, the social benefits of a non-profit organization, and the branding and market positioning advantages of a Benefit Corporation.</w:t>
      </w:r>
    </w:p>
    <w:p w14:paraId="566F264D" w14:textId="77777777" w:rsidR="00EF5221" w:rsidRPr="004923E7" w:rsidRDefault="00EF5221" w:rsidP="00EF5221">
      <w:pPr>
        <w:pStyle w:val="ListParagraph"/>
        <w:jc w:val="both"/>
        <w:rPr>
          <w:rFonts w:ascii="Times New Roman" w:hAnsi="Times New Roman" w:cs="Times New Roman"/>
          <w:sz w:val="8"/>
          <w:szCs w:val="8"/>
        </w:rPr>
      </w:pPr>
    </w:p>
    <w:p w14:paraId="24078E41" w14:textId="03B49357" w:rsidR="00EF5221" w:rsidRPr="004923E7" w:rsidRDefault="00FD0CEA" w:rsidP="00EF522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The L3C is obligated to be mission-driven by law which gives a clear order of priorities while also aligning with Lang's initial design intention of being a structure that can take donations from foundations.</w:t>
      </w:r>
      <w:r w:rsidR="00EF5221" w:rsidRPr="004923E7">
        <w:rPr>
          <w:rFonts w:ascii="Times New Roman" w:hAnsi="Times New Roman" w:cs="Times New Roman"/>
          <w:sz w:val="16"/>
          <w:szCs w:val="16"/>
        </w:rPr>
        <w:t xml:space="preserve"> In short, this corporate structure</w:t>
      </w:r>
      <w:r w:rsidRPr="004923E7">
        <w:rPr>
          <w:rFonts w:ascii="Times New Roman" w:hAnsi="Times New Roman" w:cs="Times New Roman"/>
          <w:sz w:val="16"/>
          <w:szCs w:val="16"/>
        </w:rPr>
        <w:t xml:space="preserve"> makes it easier for socially oriented businesses to attract investments from foundations and additional money from private investors. </w:t>
      </w:r>
    </w:p>
    <w:p w14:paraId="4CAE28F8" w14:textId="7C3542E0"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Unlike the traditional LLC, the L3C's articles of organization are required by law to mirror the federal tax standards for program-related </w:t>
      </w:r>
      <w:r w:rsidRPr="004923E7">
        <w:rPr>
          <w:rFonts w:ascii="Times New Roman" w:hAnsi="Times New Roman" w:cs="Times New Roman"/>
          <w:b/>
          <w:bCs/>
          <w:sz w:val="16"/>
          <w:szCs w:val="16"/>
        </w:rPr>
        <w:t>investing</w:t>
      </w:r>
      <w:r w:rsidR="00EF5221" w:rsidRPr="004923E7">
        <w:rPr>
          <w:rFonts w:ascii="Times New Roman" w:hAnsi="Times New Roman" w:cs="Times New Roman"/>
          <w:sz w:val="16"/>
          <w:szCs w:val="16"/>
        </w:rPr>
        <w:t>.</w:t>
      </w:r>
      <w:r w:rsidRPr="004923E7">
        <w:rPr>
          <w:rFonts w:ascii="Times New Roman" w:hAnsi="Times New Roman" w:cs="Times New Roman"/>
          <w:sz w:val="16"/>
          <w:szCs w:val="16"/>
        </w:rPr>
        <w:t xml:space="preserve"> A program-related investment (PRI) is one way in which foundations can satisfy their obligation under the </w:t>
      </w:r>
      <w:r w:rsidRPr="004923E7">
        <w:rPr>
          <w:rFonts w:ascii="Times New Roman" w:hAnsi="Times New Roman" w:cs="Times New Roman"/>
          <w:b/>
          <w:bCs/>
          <w:sz w:val="16"/>
          <w:szCs w:val="16"/>
        </w:rPr>
        <w:t>Tax Reform Act of 1969</w:t>
      </w:r>
      <w:r w:rsidRPr="004923E7">
        <w:rPr>
          <w:rFonts w:ascii="Times New Roman" w:hAnsi="Times New Roman" w:cs="Times New Roman"/>
          <w:sz w:val="16"/>
          <w:szCs w:val="16"/>
        </w:rPr>
        <w:t xml:space="preserve"> to distribute at least 5% of their assets every year for charitable purposes </w:t>
      </w:r>
      <w:proofErr w:type="gramStart"/>
      <w:r w:rsidRPr="004923E7">
        <w:rPr>
          <w:rFonts w:ascii="Times New Roman" w:hAnsi="Times New Roman" w:cs="Times New Roman"/>
          <w:sz w:val="16"/>
          <w:szCs w:val="16"/>
        </w:rPr>
        <w:t>in order to</w:t>
      </w:r>
      <w:proofErr w:type="gramEnd"/>
      <w:r w:rsidRPr="004923E7">
        <w:rPr>
          <w:rFonts w:ascii="Times New Roman" w:hAnsi="Times New Roman" w:cs="Times New Roman"/>
          <w:sz w:val="16"/>
          <w:szCs w:val="16"/>
        </w:rPr>
        <w:t xml:space="preserve"> maintain their tax-</w:t>
      </w:r>
      <w:r w:rsidRPr="004923E7">
        <w:rPr>
          <w:rFonts w:ascii="Times New Roman" w:hAnsi="Times New Roman" w:cs="Times New Roman"/>
          <w:b/>
          <w:bCs/>
          <w:sz w:val="16"/>
          <w:szCs w:val="16"/>
        </w:rPr>
        <w:t>exempt status</w:t>
      </w:r>
      <w:r w:rsidRPr="004923E7">
        <w:rPr>
          <w:rFonts w:ascii="Times New Roman" w:hAnsi="Times New Roman" w:cs="Times New Roman"/>
          <w:sz w:val="16"/>
          <w:szCs w:val="16"/>
        </w:rPr>
        <w:t xml:space="preserve">. While foundations usually meet this </w:t>
      </w:r>
      <w:r w:rsidRPr="004923E7">
        <w:rPr>
          <w:rFonts w:ascii="Times New Roman" w:hAnsi="Times New Roman" w:cs="Times New Roman"/>
          <w:sz w:val="16"/>
          <w:szCs w:val="16"/>
        </w:rPr>
        <w:lastRenderedPageBreak/>
        <w:t xml:space="preserve">requirement through grants, investments in L3Cs and charities that qualify as PRIs can also fulfill the requirement </w:t>
      </w:r>
      <w:r w:rsidRPr="004923E7">
        <w:rPr>
          <w:rFonts w:ascii="Times New Roman" w:hAnsi="Times New Roman" w:cs="Times New Roman"/>
          <w:i/>
          <w:iCs/>
          <w:sz w:val="16"/>
          <w:szCs w:val="16"/>
        </w:rPr>
        <w:t>while allowing foundations to receive a return</w:t>
      </w:r>
      <w:r w:rsidRPr="004923E7">
        <w:rPr>
          <w:rFonts w:ascii="Times New Roman" w:hAnsi="Times New Roman" w:cs="Times New Roman"/>
          <w:sz w:val="16"/>
          <w:szCs w:val="16"/>
        </w:rPr>
        <w:t>.</w:t>
      </w:r>
      <w:r w:rsidR="00360F35" w:rsidRPr="004923E7">
        <w:rPr>
          <w:rFonts w:ascii="Times New Roman" w:hAnsi="Times New Roman" w:cs="Times New Roman"/>
          <w:sz w:val="16"/>
          <w:szCs w:val="16"/>
        </w:rPr>
        <w:t xml:space="preserve"> </w:t>
      </w:r>
      <w:r w:rsidRPr="004923E7">
        <w:rPr>
          <w:rFonts w:ascii="Times New Roman" w:hAnsi="Times New Roman" w:cs="Times New Roman"/>
          <w:sz w:val="16"/>
          <w:szCs w:val="16"/>
        </w:rPr>
        <w:t>While L3Cs are a separate legal form of business entity, L3Cs structure most closely emulates that of a limited liability company (LLC). The most notable difference between L3Cs and LLCs is that L3Cs are required to have a socially beneficial mission as their primary objective. Below are several noteworthy characteristics of L3Cs:</w:t>
      </w:r>
    </w:p>
    <w:p w14:paraId="27A247AF" w14:textId="36F81874" w:rsidR="00360F3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Formation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L3Cs are formed by filing articles of organization with the Secretary of State within a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 xml:space="preserve">state that has L3C statute provisions. For businesses primarily operating in a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 without L3C statute provision, it is possible to still legally form as an L3C by</w:t>
      </w:r>
      <w:r w:rsidR="00360F35" w:rsidRPr="004923E7">
        <w:rPr>
          <w:rFonts w:ascii="Times New Roman" w:hAnsi="Times New Roman" w:cs="Times New Roman"/>
          <w:sz w:val="16"/>
          <w:szCs w:val="16"/>
        </w:rPr>
        <w:t>:</w:t>
      </w:r>
    </w:p>
    <w:p w14:paraId="27845682" w14:textId="3F93B9B1" w:rsidR="00360F35" w:rsidRPr="004923E7" w:rsidRDefault="00FD0CEA" w:rsidP="00360F35">
      <w:pPr>
        <w:pStyle w:val="ListParagraph"/>
        <w:numPr>
          <w:ilvl w:val="0"/>
          <w:numId w:val="8"/>
        </w:numPr>
        <w:jc w:val="both"/>
        <w:rPr>
          <w:rFonts w:ascii="Times New Roman" w:hAnsi="Times New Roman" w:cs="Times New Roman"/>
          <w:sz w:val="16"/>
          <w:szCs w:val="16"/>
        </w:rPr>
      </w:pPr>
      <w:r w:rsidRPr="004923E7">
        <w:rPr>
          <w:rFonts w:ascii="Times New Roman" w:hAnsi="Times New Roman" w:cs="Times New Roman"/>
          <w:sz w:val="16"/>
          <w:szCs w:val="16"/>
        </w:rPr>
        <w:t>incorporating in a state with an L3C statute provision,</w:t>
      </w:r>
    </w:p>
    <w:p w14:paraId="3195F532" w14:textId="6FC16FFD" w:rsidR="00360F35" w:rsidRPr="004923E7" w:rsidRDefault="00FD0CEA" w:rsidP="00360F35">
      <w:pPr>
        <w:pStyle w:val="ListParagraph"/>
        <w:numPr>
          <w:ilvl w:val="0"/>
          <w:numId w:val="8"/>
        </w:numPr>
        <w:jc w:val="both"/>
        <w:rPr>
          <w:rFonts w:ascii="Times New Roman" w:hAnsi="Times New Roman" w:cs="Times New Roman"/>
          <w:sz w:val="16"/>
          <w:szCs w:val="16"/>
        </w:rPr>
      </w:pPr>
      <w:r w:rsidRPr="004923E7">
        <w:rPr>
          <w:rFonts w:ascii="Times New Roman" w:hAnsi="Times New Roman" w:cs="Times New Roman"/>
          <w:sz w:val="16"/>
          <w:szCs w:val="16"/>
        </w:rPr>
        <w:t xml:space="preserve">registering as a foreign business doing business in that </w:t>
      </w:r>
      <w:proofErr w:type="gramStart"/>
      <w:r w:rsidRPr="004923E7">
        <w:rPr>
          <w:rFonts w:ascii="Times New Roman" w:hAnsi="Times New Roman" w:cs="Times New Roman"/>
          <w:sz w:val="16"/>
          <w:szCs w:val="16"/>
        </w:rPr>
        <w:t>particular state</w:t>
      </w:r>
      <w:proofErr w:type="gramEnd"/>
      <w:r w:rsidRPr="004923E7">
        <w:rPr>
          <w:rFonts w:ascii="Times New Roman" w:hAnsi="Times New Roman" w:cs="Times New Roman"/>
          <w:sz w:val="16"/>
          <w:szCs w:val="16"/>
        </w:rPr>
        <w:t xml:space="preserve">, and </w:t>
      </w:r>
    </w:p>
    <w:p w14:paraId="66C045CA" w14:textId="6B382149" w:rsidR="00360F35" w:rsidRPr="004923E7" w:rsidRDefault="00FD0CEA" w:rsidP="00360F35">
      <w:pPr>
        <w:pStyle w:val="ListParagraph"/>
        <w:numPr>
          <w:ilvl w:val="0"/>
          <w:numId w:val="8"/>
        </w:numPr>
        <w:jc w:val="both"/>
        <w:rPr>
          <w:rFonts w:ascii="Times New Roman" w:hAnsi="Times New Roman" w:cs="Times New Roman"/>
          <w:sz w:val="16"/>
          <w:szCs w:val="16"/>
        </w:rPr>
      </w:pPr>
      <w:r w:rsidRPr="004923E7">
        <w:rPr>
          <w:rFonts w:ascii="Times New Roman" w:hAnsi="Times New Roman" w:cs="Times New Roman"/>
          <w:sz w:val="16"/>
          <w:szCs w:val="16"/>
        </w:rPr>
        <w:t xml:space="preserve">appointing a registered agent within that </w:t>
      </w:r>
      <w:proofErr w:type="gramStart"/>
      <w:r w:rsidRPr="004923E7">
        <w:rPr>
          <w:rFonts w:ascii="Times New Roman" w:hAnsi="Times New Roman" w:cs="Times New Roman"/>
          <w:sz w:val="16"/>
          <w:szCs w:val="16"/>
        </w:rPr>
        <w:t>particular state</w:t>
      </w:r>
      <w:proofErr w:type="gramEnd"/>
      <w:r w:rsidRPr="004923E7">
        <w:rPr>
          <w:rFonts w:ascii="Times New Roman" w:hAnsi="Times New Roman" w:cs="Times New Roman"/>
          <w:sz w:val="16"/>
          <w:szCs w:val="16"/>
        </w:rPr>
        <w:t xml:space="preserve">. </w:t>
      </w:r>
    </w:p>
    <w:p w14:paraId="25EF0AB1" w14:textId="7CD45B18"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Within the articles of organization, the </w:t>
      </w:r>
      <w:r w:rsidRPr="004923E7">
        <w:rPr>
          <w:rFonts w:ascii="Times New Roman" w:hAnsi="Times New Roman" w:cs="Times New Roman"/>
          <w:b/>
          <w:bCs/>
          <w:sz w:val="16"/>
          <w:szCs w:val="16"/>
        </w:rPr>
        <w:t>Registered Agent</w:t>
      </w:r>
      <w:r w:rsidRPr="004923E7">
        <w:rPr>
          <w:rFonts w:ascii="Times New Roman" w:hAnsi="Times New Roman" w:cs="Times New Roman"/>
          <w:sz w:val="16"/>
          <w:szCs w:val="16"/>
        </w:rPr>
        <w:t xml:space="preserve"> will be designated. Many states have an initial filing fee along with an annual fee and annual report filing requirement necessary for an L3C to maintain its legal status.</w:t>
      </w:r>
      <w:r w:rsidR="004923E7">
        <w:rPr>
          <w:rFonts w:ascii="Times New Roman" w:hAnsi="Times New Roman" w:cs="Times New Roman"/>
          <w:sz w:val="16"/>
          <w:szCs w:val="16"/>
        </w:rPr>
        <w:t xml:space="preserve"> </w:t>
      </w:r>
      <w:r w:rsidRPr="004923E7">
        <w:rPr>
          <w:rFonts w:ascii="Times New Roman" w:hAnsi="Times New Roman" w:cs="Times New Roman"/>
          <w:sz w:val="16"/>
          <w:szCs w:val="16"/>
        </w:rPr>
        <w:t xml:space="preserve">Following filing, the members of the L3C must </w:t>
      </w:r>
      <w:proofErr w:type="gramStart"/>
      <w:r w:rsidRPr="004923E7">
        <w:rPr>
          <w:rFonts w:ascii="Times New Roman" w:hAnsi="Times New Roman" w:cs="Times New Roman"/>
          <w:sz w:val="16"/>
          <w:szCs w:val="16"/>
        </w:rPr>
        <w:t>execute</w:t>
      </w:r>
      <w:proofErr w:type="gramEnd"/>
      <w:r w:rsidRPr="004923E7">
        <w:rPr>
          <w:rFonts w:ascii="Times New Roman" w:hAnsi="Times New Roman" w:cs="Times New Roman"/>
          <w:sz w:val="16"/>
          <w:szCs w:val="16"/>
        </w:rPr>
        <w:t xml:space="preserve"> a formal operating </w:t>
      </w:r>
      <w:r w:rsidRPr="004923E7">
        <w:rPr>
          <w:rFonts w:ascii="Times New Roman" w:hAnsi="Times New Roman" w:cs="Times New Roman"/>
          <w:b/>
          <w:bCs/>
          <w:sz w:val="16"/>
          <w:szCs w:val="16"/>
        </w:rPr>
        <w:t>agreement</w:t>
      </w:r>
      <w:r w:rsidRPr="004923E7">
        <w:rPr>
          <w:rFonts w:ascii="Times New Roman" w:hAnsi="Times New Roman" w:cs="Times New Roman"/>
          <w:sz w:val="16"/>
          <w:szCs w:val="16"/>
        </w:rPr>
        <w:t xml:space="preserve">. In the operating agreement, </w:t>
      </w:r>
      <w:proofErr w:type="gramStart"/>
      <w:r w:rsidRPr="004923E7">
        <w:rPr>
          <w:rFonts w:ascii="Times New Roman" w:hAnsi="Times New Roman" w:cs="Times New Roman"/>
          <w:sz w:val="16"/>
          <w:szCs w:val="16"/>
        </w:rPr>
        <w:t>an L3C</w:t>
      </w:r>
      <w:proofErr w:type="gramEnd"/>
      <w:r w:rsidRPr="004923E7">
        <w:rPr>
          <w:rFonts w:ascii="Times New Roman" w:hAnsi="Times New Roman" w:cs="Times New Roman"/>
          <w:sz w:val="16"/>
          <w:szCs w:val="16"/>
        </w:rPr>
        <w:t xml:space="preserve"> needs to define its purpose per the provisions of IRS Treasury Regs.Sec.53.4944-3(a):</w:t>
      </w:r>
    </w:p>
    <w:p w14:paraId="5E79FB78" w14:textId="77777777" w:rsidR="00FD0CEA" w:rsidRPr="004923E7" w:rsidRDefault="00FD0CEA" w:rsidP="0072224A">
      <w:pPr>
        <w:numPr>
          <w:ilvl w:val="0"/>
          <w:numId w:val="6"/>
        </w:numPr>
        <w:jc w:val="both"/>
        <w:rPr>
          <w:rFonts w:ascii="Times New Roman" w:hAnsi="Times New Roman" w:cs="Times New Roman"/>
          <w:sz w:val="16"/>
          <w:szCs w:val="16"/>
        </w:rPr>
      </w:pPr>
      <w:r w:rsidRPr="004923E7">
        <w:rPr>
          <w:rFonts w:ascii="Times New Roman" w:hAnsi="Times New Roman" w:cs="Times New Roman"/>
          <w:sz w:val="16"/>
          <w:szCs w:val="16"/>
        </w:rPr>
        <w:t>an L3C must significantly further the accomplishment of one or more charitable purposes;</w:t>
      </w:r>
    </w:p>
    <w:p w14:paraId="08B11C43" w14:textId="77777777" w:rsidR="00FD0CEA" w:rsidRPr="004923E7" w:rsidRDefault="00FD0CEA" w:rsidP="0072224A">
      <w:pPr>
        <w:numPr>
          <w:ilvl w:val="0"/>
          <w:numId w:val="6"/>
        </w:numPr>
        <w:jc w:val="both"/>
        <w:rPr>
          <w:rFonts w:ascii="Times New Roman" w:hAnsi="Times New Roman" w:cs="Times New Roman"/>
          <w:sz w:val="16"/>
          <w:szCs w:val="16"/>
        </w:rPr>
      </w:pPr>
      <w:r w:rsidRPr="004923E7">
        <w:rPr>
          <w:rFonts w:ascii="Times New Roman" w:hAnsi="Times New Roman" w:cs="Times New Roman"/>
          <w:sz w:val="16"/>
          <w:szCs w:val="16"/>
        </w:rPr>
        <w:t>the production of income and appreciation of property cannot be a significant purpose of the L3C; and</w:t>
      </w:r>
    </w:p>
    <w:p w14:paraId="0D95FEE0" w14:textId="77777777" w:rsidR="00FD0CEA" w:rsidRPr="004923E7" w:rsidRDefault="00FD0CEA" w:rsidP="0072224A">
      <w:pPr>
        <w:numPr>
          <w:ilvl w:val="0"/>
          <w:numId w:val="6"/>
        </w:numPr>
        <w:jc w:val="both"/>
        <w:rPr>
          <w:rFonts w:ascii="Times New Roman" w:hAnsi="Times New Roman" w:cs="Times New Roman"/>
          <w:sz w:val="16"/>
          <w:szCs w:val="16"/>
        </w:rPr>
      </w:pPr>
      <w:r w:rsidRPr="004923E7">
        <w:rPr>
          <w:rFonts w:ascii="Times New Roman" w:hAnsi="Times New Roman" w:cs="Times New Roman"/>
          <w:sz w:val="16"/>
          <w:szCs w:val="16"/>
        </w:rPr>
        <w:t>an L3C cannot seek to accomplish any political or legislative purposes</w:t>
      </w:r>
    </w:p>
    <w:p w14:paraId="4E5F8442" w14:textId="256EE2DD"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In addition to meeting IRS Treasury Regs.Sec.53.4944-3(a), many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states require the label "L3C" or "low-profit limited liability company" to appear in the name of the organization. Each state may have state-specific requirements that govern L3C formation</w:t>
      </w:r>
      <w:r w:rsidR="00360F35" w:rsidRPr="004923E7">
        <w:rPr>
          <w:rFonts w:ascii="Times New Roman" w:hAnsi="Times New Roman" w:cs="Times New Roman"/>
          <w:sz w:val="16"/>
          <w:szCs w:val="16"/>
        </w:rPr>
        <w:t xml:space="preserve">. </w:t>
      </w:r>
    </w:p>
    <w:p w14:paraId="5ACD1DA9" w14:textId="460EC219"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Duration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The lifetime or duration of an L3C </w:t>
      </w:r>
      <w:r w:rsidR="00360F35" w:rsidRPr="004923E7">
        <w:rPr>
          <w:rFonts w:ascii="Times New Roman" w:hAnsi="Times New Roman" w:cs="Times New Roman"/>
          <w:sz w:val="16"/>
          <w:szCs w:val="16"/>
        </w:rPr>
        <w:t xml:space="preserve">is perpetual. It </w:t>
      </w:r>
      <w:r w:rsidRPr="004923E7">
        <w:rPr>
          <w:rFonts w:ascii="Times New Roman" w:hAnsi="Times New Roman" w:cs="Times New Roman"/>
          <w:sz w:val="16"/>
          <w:szCs w:val="16"/>
        </w:rPr>
        <w:t xml:space="preserve">usually </w:t>
      </w:r>
      <w:r w:rsidRPr="004923E7">
        <w:rPr>
          <w:rFonts w:ascii="Times New Roman" w:hAnsi="Times New Roman" w:cs="Times New Roman"/>
          <w:b/>
          <w:bCs/>
          <w:i/>
          <w:iCs/>
          <w:sz w:val="16"/>
          <w:szCs w:val="16"/>
        </w:rPr>
        <w:t>extends beyond the life of its members</w:t>
      </w:r>
      <w:r w:rsidRPr="004923E7">
        <w:rPr>
          <w:rFonts w:ascii="Times New Roman" w:hAnsi="Times New Roman" w:cs="Times New Roman"/>
          <w:sz w:val="16"/>
          <w:szCs w:val="16"/>
        </w:rPr>
        <w:t xml:space="preserve"> because it takes on its own legal personhood. Thus, the death or withdrawal of a member does not impact the existence of the L3C.</w:t>
      </w:r>
      <w:r w:rsidR="00360F35" w:rsidRPr="004923E7">
        <w:rPr>
          <w:rFonts w:ascii="Times New Roman" w:hAnsi="Times New Roman" w:cs="Times New Roman"/>
          <w:sz w:val="16"/>
          <w:szCs w:val="16"/>
        </w:rPr>
        <w:t xml:space="preserve"> </w:t>
      </w:r>
    </w:p>
    <w:p w14:paraId="09F7B005" w14:textId="77777777" w:rsidR="00FD0CEA" w:rsidRPr="004923E7" w:rsidRDefault="00FD0CEA" w:rsidP="0072224A">
      <w:pPr>
        <w:jc w:val="both"/>
        <w:rPr>
          <w:rFonts w:ascii="Times New Roman" w:hAnsi="Times New Roman" w:cs="Times New Roman"/>
          <w:b/>
          <w:bCs/>
          <w:sz w:val="16"/>
          <w:szCs w:val="16"/>
        </w:rPr>
      </w:pPr>
      <w:r w:rsidRPr="004923E7">
        <w:rPr>
          <w:rFonts w:ascii="Times New Roman" w:hAnsi="Times New Roman" w:cs="Times New Roman"/>
          <w:b/>
          <w:bCs/>
          <w:sz w:val="16"/>
          <w:szCs w:val="16"/>
        </w:rPr>
        <w:t>Management</w:t>
      </w:r>
    </w:p>
    <w:p w14:paraId="7E285833" w14:textId="4110092C"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L3C's have the option to be </w:t>
      </w:r>
      <w:r w:rsidRPr="004923E7">
        <w:rPr>
          <w:rFonts w:ascii="Times New Roman" w:hAnsi="Times New Roman" w:cs="Times New Roman"/>
          <w:b/>
          <w:bCs/>
          <w:sz w:val="16"/>
          <w:szCs w:val="16"/>
        </w:rPr>
        <w:t>member-managed</w:t>
      </w:r>
      <w:r w:rsidRPr="004923E7">
        <w:rPr>
          <w:rFonts w:ascii="Times New Roman" w:hAnsi="Times New Roman" w:cs="Times New Roman"/>
          <w:sz w:val="16"/>
          <w:szCs w:val="16"/>
        </w:rPr>
        <w:t xml:space="preserve"> or </w:t>
      </w:r>
      <w:r w:rsidRPr="004923E7">
        <w:rPr>
          <w:rFonts w:ascii="Times New Roman" w:hAnsi="Times New Roman" w:cs="Times New Roman"/>
          <w:b/>
          <w:bCs/>
          <w:sz w:val="16"/>
          <w:szCs w:val="16"/>
        </w:rPr>
        <w:t>manager-managed.</w:t>
      </w:r>
      <w:r w:rsidRPr="004923E7">
        <w:rPr>
          <w:rFonts w:ascii="Times New Roman" w:hAnsi="Times New Roman" w:cs="Times New Roman"/>
          <w:sz w:val="16"/>
          <w:szCs w:val="16"/>
        </w:rPr>
        <w:t xml:space="preserve"> This distinction should be made within the operating agreement of the business. The default is member-managed which means that the members of the L3C are responsible for delegating and performing the day-to-day operational functioning of the business along with determining strategic </w:t>
      </w:r>
      <w:proofErr w:type="gramStart"/>
      <w:r w:rsidRPr="004923E7">
        <w:rPr>
          <w:rFonts w:ascii="Times New Roman" w:hAnsi="Times New Roman" w:cs="Times New Roman"/>
          <w:sz w:val="16"/>
          <w:szCs w:val="16"/>
        </w:rPr>
        <w:t>direction</w:t>
      </w:r>
      <w:proofErr w:type="gramEnd"/>
      <w:r w:rsidRPr="004923E7">
        <w:rPr>
          <w:rFonts w:ascii="Times New Roman" w:hAnsi="Times New Roman" w:cs="Times New Roman"/>
          <w:sz w:val="16"/>
          <w:szCs w:val="16"/>
        </w:rPr>
        <w:t xml:space="preserve"> for the business. When an L3C is manager-managed, the members designate either members or non-members to take on managerial roles for the business and who act as agents for the organization.</w:t>
      </w:r>
      <w:r w:rsidR="00360F35" w:rsidRPr="004923E7">
        <w:rPr>
          <w:rFonts w:ascii="Times New Roman" w:hAnsi="Times New Roman" w:cs="Times New Roman"/>
          <w:sz w:val="16"/>
          <w:szCs w:val="16"/>
        </w:rPr>
        <w:t xml:space="preserve"> </w:t>
      </w:r>
      <w:r w:rsidRPr="004923E7">
        <w:rPr>
          <w:rFonts w:ascii="Times New Roman" w:hAnsi="Times New Roman" w:cs="Times New Roman"/>
          <w:sz w:val="16"/>
          <w:szCs w:val="16"/>
        </w:rPr>
        <w:t>A manager-managed selection does not necessarily mean that members lose their voting rights on material issues regarding the business unless indicated or contracted otherwise within the operating agreement</w:t>
      </w:r>
      <w:r w:rsidR="00360F35" w:rsidRPr="004923E7">
        <w:rPr>
          <w:rFonts w:ascii="Times New Roman" w:hAnsi="Times New Roman" w:cs="Times New Roman"/>
          <w:sz w:val="16"/>
          <w:szCs w:val="16"/>
        </w:rPr>
        <w:t xml:space="preserve">. </w:t>
      </w:r>
    </w:p>
    <w:p w14:paraId="7A03320F" w14:textId="236AC5E9" w:rsidR="00360F3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Member fiduciary duties</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Members of an L3C are considered a fiduciary of the organization. Depending on a member's role in the organization, they may have varying fiduciary duties. Two common fiduciary duties are a </w:t>
      </w:r>
      <w:r w:rsidRPr="004923E7">
        <w:rPr>
          <w:rFonts w:ascii="Times New Roman" w:hAnsi="Times New Roman" w:cs="Times New Roman"/>
          <w:i/>
          <w:iCs/>
          <w:sz w:val="16"/>
          <w:szCs w:val="16"/>
        </w:rPr>
        <w:t>duty of care</w:t>
      </w:r>
      <w:r w:rsidRPr="004923E7">
        <w:rPr>
          <w:rFonts w:ascii="Times New Roman" w:hAnsi="Times New Roman" w:cs="Times New Roman"/>
          <w:sz w:val="16"/>
          <w:szCs w:val="16"/>
        </w:rPr>
        <w:t xml:space="preserve"> and a </w:t>
      </w:r>
      <w:r w:rsidRPr="004923E7">
        <w:rPr>
          <w:rFonts w:ascii="Times New Roman" w:hAnsi="Times New Roman" w:cs="Times New Roman"/>
          <w:i/>
          <w:iCs/>
          <w:sz w:val="16"/>
          <w:szCs w:val="16"/>
        </w:rPr>
        <w:t>duty of loyalty</w:t>
      </w:r>
      <w:r w:rsidRPr="004923E7">
        <w:rPr>
          <w:rFonts w:ascii="Times New Roman" w:hAnsi="Times New Roman" w:cs="Times New Roman"/>
          <w:sz w:val="16"/>
          <w:szCs w:val="16"/>
        </w:rPr>
        <w:t xml:space="preserve">. Violations of these duties can result in a civil </w:t>
      </w:r>
      <w:r w:rsidR="00360F35" w:rsidRPr="004923E7">
        <w:rPr>
          <w:rFonts w:ascii="Times New Roman" w:hAnsi="Times New Roman" w:cs="Times New Roman"/>
          <w:sz w:val="16"/>
          <w:szCs w:val="16"/>
        </w:rPr>
        <w:t xml:space="preserve">or private </w:t>
      </w:r>
      <w:r w:rsidRPr="004923E7">
        <w:rPr>
          <w:rFonts w:ascii="Times New Roman" w:hAnsi="Times New Roman" w:cs="Times New Roman"/>
          <w:sz w:val="16"/>
          <w:szCs w:val="16"/>
        </w:rPr>
        <w:t xml:space="preserve">lawsuit and </w:t>
      </w:r>
      <w:r w:rsidR="00360F35" w:rsidRPr="004923E7">
        <w:rPr>
          <w:rFonts w:ascii="Times New Roman" w:hAnsi="Times New Roman" w:cs="Times New Roman"/>
          <w:sz w:val="16"/>
          <w:szCs w:val="16"/>
        </w:rPr>
        <w:t xml:space="preserve">can </w:t>
      </w:r>
      <w:r w:rsidRPr="004923E7">
        <w:rPr>
          <w:rFonts w:ascii="Times New Roman" w:hAnsi="Times New Roman" w:cs="Times New Roman"/>
          <w:sz w:val="16"/>
          <w:szCs w:val="16"/>
        </w:rPr>
        <w:t xml:space="preserve">lead to compensatory damages and punitive damages. </w:t>
      </w:r>
    </w:p>
    <w:p w14:paraId="0018AA19" w14:textId="39DCDB5E" w:rsidR="00FD0CEA" w:rsidRPr="004923E7" w:rsidRDefault="00FD0CEA" w:rsidP="00360F35">
      <w:pPr>
        <w:pStyle w:val="ListParagraph"/>
        <w:jc w:val="both"/>
        <w:rPr>
          <w:rFonts w:ascii="Times New Roman" w:hAnsi="Times New Roman" w:cs="Times New Roman"/>
          <w:sz w:val="16"/>
          <w:szCs w:val="16"/>
        </w:rPr>
      </w:pPr>
      <w:r w:rsidRPr="004923E7">
        <w:rPr>
          <w:rFonts w:ascii="Times New Roman" w:hAnsi="Times New Roman" w:cs="Times New Roman"/>
          <w:b/>
          <w:bCs/>
          <w:sz w:val="16"/>
          <w:szCs w:val="16"/>
        </w:rPr>
        <w:t>Note</w:t>
      </w:r>
      <w:r w:rsidR="00360F35" w:rsidRPr="004923E7">
        <w:rPr>
          <w:rFonts w:ascii="Times New Roman" w:hAnsi="Times New Roman" w:cs="Times New Roman"/>
          <w:sz w:val="16"/>
          <w:szCs w:val="16"/>
        </w:rPr>
        <w:t xml:space="preserve">: </w:t>
      </w:r>
      <w:r w:rsidRPr="004923E7">
        <w:rPr>
          <w:rFonts w:ascii="Times New Roman" w:hAnsi="Times New Roman" w:cs="Times New Roman"/>
          <w:sz w:val="16"/>
          <w:szCs w:val="16"/>
        </w:rPr>
        <w:t xml:space="preserve"> </w:t>
      </w:r>
      <w:r w:rsidR="00360F35" w:rsidRPr="004923E7">
        <w:rPr>
          <w:rFonts w:ascii="Times New Roman" w:hAnsi="Times New Roman" w:cs="Times New Roman"/>
          <w:sz w:val="16"/>
          <w:szCs w:val="16"/>
        </w:rPr>
        <w:t>S</w:t>
      </w:r>
      <w:r w:rsidRPr="004923E7">
        <w:rPr>
          <w:rFonts w:ascii="Times New Roman" w:hAnsi="Times New Roman" w:cs="Times New Roman"/>
          <w:sz w:val="16"/>
          <w:szCs w:val="16"/>
        </w:rPr>
        <w:t xml:space="preserve">ome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states allow for fiduciary duties to be altered within the operating agreement.</w:t>
      </w:r>
      <w:r w:rsidR="00360F35" w:rsidRPr="004923E7">
        <w:rPr>
          <w:rFonts w:ascii="Times New Roman" w:hAnsi="Times New Roman" w:cs="Times New Roman"/>
          <w:sz w:val="16"/>
          <w:szCs w:val="16"/>
        </w:rPr>
        <w:t xml:space="preserve"> </w:t>
      </w:r>
    </w:p>
    <w:p w14:paraId="7DB3BCF8" w14:textId="1F13FAD8"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Member liability</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Members of the L3C have </w:t>
      </w:r>
      <w:r w:rsidRPr="004923E7">
        <w:rPr>
          <w:rFonts w:ascii="Times New Roman" w:hAnsi="Times New Roman" w:cs="Times New Roman"/>
          <w:b/>
          <w:bCs/>
          <w:sz w:val="16"/>
          <w:szCs w:val="16"/>
        </w:rPr>
        <w:t>limited liability</w:t>
      </w:r>
      <w:r w:rsidRPr="004923E7">
        <w:rPr>
          <w:rFonts w:ascii="Times New Roman" w:hAnsi="Times New Roman" w:cs="Times New Roman"/>
          <w:sz w:val="16"/>
          <w:szCs w:val="16"/>
        </w:rPr>
        <w:t xml:space="preserve">. In other terms, member liability is limited to their capital contribution to the L3C except for member's </w:t>
      </w:r>
      <w:r w:rsidRPr="004923E7">
        <w:rPr>
          <w:rFonts w:ascii="Times New Roman" w:hAnsi="Times New Roman" w:cs="Times New Roman"/>
          <w:b/>
          <w:bCs/>
          <w:sz w:val="16"/>
          <w:szCs w:val="16"/>
        </w:rPr>
        <w:t>individual torts</w:t>
      </w:r>
      <w:r w:rsidRPr="004923E7">
        <w:rPr>
          <w:rFonts w:ascii="Times New Roman" w:hAnsi="Times New Roman" w:cs="Times New Roman"/>
          <w:sz w:val="16"/>
          <w:szCs w:val="16"/>
        </w:rPr>
        <w:t xml:space="preserve">. This means that the members are not personally responsible for the contracts, debts, and/or actions of the business. In rare circumstances, members may be held further liable under the </w:t>
      </w:r>
      <w:r w:rsidRPr="004923E7">
        <w:rPr>
          <w:rFonts w:ascii="Times New Roman" w:hAnsi="Times New Roman" w:cs="Times New Roman"/>
          <w:i/>
          <w:iCs/>
          <w:sz w:val="16"/>
          <w:szCs w:val="16"/>
        </w:rPr>
        <w:t>doctrine of piercing the corporate veil</w:t>
      </w:r>
      <w:r w:rsidRPr="004923E7">
        <w:rPr>
          <w:rFonts w:ascii="Times New Roman" w:hAnsi="Times New Roman" w:cs="Times New Roman"/>
          <w:sz w:val="16"/>
          <w:szCs w:val="16"/>
        </w:rPr>
        <w:t xml:space="preserve">. </w:t>
      </w:r>
      <w:r w:rsidRPr="004923E7">
        <w:rPr>
          <w:rFonts w:ascii="Times New Roman" w:hAnsi="Times New Roman" w:cs="Times New Roman"/>
          <w:b/>
          <w:bCs/>
          <w:sz w:val="16"/>
          <w:szCs w:val="16"/>
          <w:u w:val="single"/>
        </w:rPr>
        <w:t>Through piercing the corporate veil, courts remove the protection of limited liability and hold members of the entity personally liable for the business's contracts, debts, and/or actions of the business.</w:t>
      </w:r>
      <w:r w:rsidR="00360F35" w:rsidRPr="004923E7">
        <w:rPr>
          <w:rFonts w:ascii="Times New Roman" w:hAnsi="Times New Roman" w:cs="Times New Roman"/>
          <w:sz w:val="16"/>
          <w:szCs w:val="16"/>
        </w:rPr>
        <w:t xml:space="preserve"> </w:t>
      </w:r>
    </w:p>
    <w:p w14:paraId="1302BB31" w14:textId="3719CCF6"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Distribution of member's interest</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While L3Cs have a primary objective of accomplishing a social mission, L3Cs can have a secondary objective of raising profit. The profits can be distributed to members </w:t>
      </w:r>
      <w:proofErr w:type="gramStart"/>
      <w:r w:rsidRPr="004923E7">
        <w:rPr>
          <w:rFonts w:ascii="Times New Roman" w:hAnsi="Times New Roman" w:cs="Times New Roman"/>
          <w:sz w:val="16"/>
          <w:szCs w:val="16"/>
        </w:rPr>
        <w:t>similar to</w:t>
      </w:r>
      <w:proofErr w:type="gramEnd"/>
      <w:r w:rsidRPr="004923E7">
        <w:rPr>
          <w:rFonts w:ascii="Times New Roman" w:hAnsi="Times New Roman" w:cs="Times New Roman"/>
          <w:sz w:val="16"/>
          <w:szCs w:val="16"/>
        </w:rPr>
        <w:t xml:space="preserve"> </w:t>
      </w:r>
      <w:proofErr w:type="gramStart"/>
      <w:r w:rsidRPr="004923E7">
        <w:rPr>
          <w:rFonts w:ascii="Times New Roman" w:hAnsi="Times New Roman" w:cs="Times New Roman"/>
          <w:sz w:val="16"/>
          <w:szCs w:val="16"/>
        </w:rPr>
        <w:t>an LLC</w:t>
      </w:r>
      <w:proofErr w:type="gramEnd"/>
      <w:r w:rsidRPr="004923E7">
        <w:rPr>
          <w:rFonts w:ascii="Times New Roman" w:hAnsi="Times New Roman" w:cs="Times New Roman"/>
          <w:sz w:val="16"/>
          <w:szCs w:val="16"/>
        </w:rPr>
        <w:t>. This characteristic is a key defining feature between L3Cs and non-profits. The default distribution is by the percentage of ownership; however, members can contract otherwise within the operating agreement on how profits are distributed.</w:t>
      </w:r>
    </w:p>
    <w:p w14:paraId="62B0B664" w14:textId="23CC76D6"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Transferability of member's interest</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The ability for a member to transfer their interest or right to profit is often limited; however, members can contract otherwise within the operating agreement. A member's interest is separate from membership. This means that an individual can transfer their member's interest but remain a member of the L3C.</w:t>
      </w:r>
      <w:r w:rsidR="00360F35" w:rsidRPr="004923E7">
        <w:rPr>
          <w:rFonts w:ascii="Times New Roman" w:hAnsi="Times New Roman" w:cs="Times New Roman"/>
          <w:sz w:val="16"/>
          <w:szCs w:val="16"/>
        </w:rPr>
        <w:t xml:space="preserve"> </w:t>
      </w:r>
    </w:p>
    <w:p w14:paraId="240AE568" w14:textId="272EB499" w:rsidR="00360F3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Federal income taxation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Because an L3C is a for-</w:t>
      </w:r>
      <w:r w:rsidRPr="004923E7">
        <w:rPr>
          <w:rFonts w:ascii="Times New Roman" w:hAnsi="Times New Roman" w:cs="Times New Roman"/>
          <w:b/>
          <w:bCs/>
          <w:sz w:val="16"/>
          <w:szCs w:val="16"/>
        </w:rPr>
        <w:t xml:space="preserve">profit </w:t>
      </w:r>
      <w:r w:rsidRPr="004923E7">
        <w:rPr>
          <w:rFonts w:ascii="Times New Roman" w:hAnsi="Times New Roman" w:cs="Times New Roman"/>
          <w:sz w:val="16"/>
          <w:szCs w:val="16"/>
        </w:rPr>
        <w:t xml:space="preserve">entity, it is not </w:t>
      </w:r>
      <w:r w:rsidRPr="004923E7">
        <w:rPr>
          <w:rFonts w:ascii="Times New Roman" w:hAnsi="Times New Roman" w:cs="Times New Roman"/>
          <w:b/>
          <w:bCs/>
          <w:sz w:val="16"/>
          <w:szCs w:val="16"/>
        </w:rPr>
        <w:t>exempt</w:t>
      </w:r>
      <w:r w:rsidR="00360F35" w:rsidRPr="004923E7">
        <w:rPr>
          <w:rFonts w:ascii="Times New Roman" w:hAnsi="Times New Roman" w:cs="Times New Roman"/>
          <w:b/>
          <w:bCs/>
          <w:sz w:val="16"/>
          <w:szCs w:val="16"/>
        </w:rPr>
        <w:t xml:space="preserve"> from taxation</w:t>
      </w:r>
      <w:r w:rsidRPr="004923E7">
        <w:rPr>
          <w:rFonts w:ascii="Times New Roman" w:hAnsi="Times New Roman" w:cs="Times New Roman"/>
          <w:sz w:val="16"/>
          <w:szCs w:val="16"/>
        </w:rPr>
        <w:t xml:space="preserve">. L3Cs are taxed the same as LLCs for federal income tax purposes. This means L3Cs can elect to be taxed as a sole-proprietorship/partnership, C-Corporation, or even as an S-Corporation in some states. By default, an L3C with two or more members is taxed as a partnership while an L3C with one member is taxed as a sole proprietorship. </w:t>
      </w:r>
      <w:proofErr w:type="gramStart"/>
      <w:r w:rsidRPr="004923E7">
        <w:rPr>
          <w:rFonts w:ascii="Times New Roman" w:hAnsi="Times New Roman" w:cs="Times New Roman"/>
          <w:sz w:val="16"/>
          <w:szCs w:val="16"/>
        </w:rPr>
        <w:t>Both of these</w:t>
      </w:r>
      <w:proofErr w:type="gramEnd"/>
      <w:r w:rsidRPr="004923E7">
        <w:rPr>
          <w:rFonts w:ascii="Times New Roman" w:hAnsi="Times New Roman" w:cs="Times New Roman"/>
          <w:sz w:val="16"/>
          <w:szCs w:val="16"/>
        </w:rPr>
        <w:t xml:space="preserve"> elections are considered pass-through taxation because the profits/</w:t>
      </w:r>
      <w:proofErr w:type="gramStart"/>
      <w:r w:rsidRPr="004923E7">
        <w:rPr>
          <w:rFonts w:ascii="Times New Roman" w:hAnsi="Times New Roman" w:cs="Times New Roman"/>
          <w:sz w:val="16"/>
          <w:szCs w:val="16"/>
        </w:rPr>
        <w:t>losses</w:t>
      </w:r>
      <w:proofErr w:type="gramEnd"/>
      <w:r w:rsidRPr="004923E7">
        <w:rPr>
          <w:rFonts w:ascii="Times New Roman" w:hAnsi="Times New Roman" w:cs="Times New Roman"/>
          <w:sz w:val="16"/>
          <w:szCs w:val="16"/>
        </w:rPr>
        <w:t xml:space="preserve"> and thus taxes of a business are directly passed on to the members via their individual tax returns. </w:t>
      </w:r>
    </w:p>
    <w:p w14:paraId="6CE05D27" w14:textId="352C1CB4" w:rsidR="006E53D1" w:rsidRPr="004923E7" w:rsidRDefault="006E53D1" w:rsidP="006E53D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A </w:t>
      </w:r>
      <w:r w:rsidRPr="004923E7">
        <w:rPr>
          <w:rFonts w:ascii="Times New Roman" w:hAnsi="Times New Roman" w:cs="Times New Roman"/>
          <w:b/>
          <w:bCs/>
          <w:sz w:val="16"/>
          <w:szCs w:val="16"/>
        </w:rPr>
        <w:t>flow-through entity</w:t>
      </w:r>
      <w:r w:rsidRPr="004923E7">
        <w:rPr>
          <w:rFonts w:ascii="Times New Roman" w:hAnsi="Times New Roman" w:cs="Times New Roman"/>
          <w:sz w:val="16"/>
          <w:szCs w:val="16"/>
        </w:rPr>
        <w:t xml:space="preserve"> (</w:t>
      </w:r>
      <w:r w:rsidRPr="004923E7">
        <w:rPr>
          <w:rFonts w:ascii="Times New Roman" w:hAnsi="Times New Roman" w:cs="Times New Roman"/>
          <w:b/>
          <w:bCs/>
          <w:sz w:val="16"/>
          <w:szCs w:val="16"/>
        </w:rPr>
        <w:t>FTE</w:t>
      </w:r>
      <w:r w:rsidRPr="004923E7">
        <w:rPr>
          <w:rFonts w:ascii="Times New Roman" w:hAnsi="Times New Roman" w:cs="Times New Roman"/>
          <w:sz w:val="16"/>
          <w:szCs w:val="16"/>
        </w:rPr>
        <w:t xml:space="preserve">) is a legal entity where income "flows through" to investors or owners; that is, the income of the entity is treated as the income of the investors or owners. Flow-through entities are also known as </w:t>
      </w:r>
      <w:r w:rsidRPr="004923E7">
        <w:rPr>
          <w:rFonts w:ascii="Times New Roman" w:hAnsi="Times New Roman" w:cs="Times New Roman"/>
          <w:b/>
          <w:bCs/>
          <w:sz w:val="16"/>
          <w:szCs w:val="16"/>
        </w:rPr>
        <w:t>pass-through entities</w:t>
      </w:r>
      <w:r w:rsidRPr="004923E7">
        <w:rPr>
          <w:rFonts w:ascii="Times New Roman" w:hAnsi="Times New Roman" w:cs="Times New Roman"/>
          <w:sz w:val="16"/>
          <w:szCs w:val="16"/>
        </w:rPr>
        <w:t xml:space="preserve"> or </w:t>
      </w:r>
      <w:proofErr w:type="gramStart"/>
      <w:r w:rsidRPr="004923E7">
        <w:rPr>
          <w:rFonts w:ascii="Times New Roman" w:hAnsi="Times New Roman" w:cs="Times New Roman"/>
          <w:b/>
          <w:bCs/>
          <w:sz w:val="16"/>
          <w:szCs w:val="16"/>
        </w:rPr>
        <w:t>fiscally-transparent</w:t>
      </w:r>
      <w:proofErr w:type="gramEnd"/>
      <w:r w:rsidRPr="004923E7">
        <w:rPr>
          <w:rFonts w:ascii="Times New Roman" w:hAnsi="Times New Roman" w:cs="Times New Roman"/>
          <w:b/>
          <w:bCs/>
          <w:sz w:val="16"/>
          <w:szCs w:val="16"/>
        </w:rPr>
        <w:t xml:space="preserve"> entities</w:t>
      </w:r>
      <w:r w:rsidRPr="004923E7">
        <w:rPr>
          <w:rFonts w:ascii="Times New Roman" w:hAnsi="Times New Roman" w:cs="Times New Roman"/>
          <w:sz w:val="16"/>
          <w:szCs w:val="16"/>
        </w:rPr>
        <w:t xml:space="preserve">. Common types of FTEs are general partnerships, limited partnerships and limited liability partnerships. In the United States, additional types of FTE include S corporations, </w:t>
      </w:r>
      <w:r w:rsidRPr="004923E7">
        <w:rPr>
          <w:rFonts w:ascii="Times New Roman" w:hAnsi="Times New Roman" w:cs="Times New Roman"/>
          <w:b/>
          <w:bCs/>
          <w:sz w:val="16"/>
          <w:szCs w:val="16"/>
        </w:rPr>
        <w:t>income trusts</w:t>
      </w:r>
      <w:r w:rsidRPr="004923E7">
        <w:rPr>
          <w:rFonts w:ascii="Times New Roman" w:hAnsi="Times New Roman" w:cs="Times New Roman"/>
          <w:sz w:val="16"/>
          <w:szCs w:val="16"/>
        </w:rPr>
        <w:t xml:space="preserve"> and limited liability companies.</w:t>
      </w:r>
    </w:p>
    <w:p w14:paraId="3F76A29A" w14:textId="77777777" w:rsidR="00A149DC" w:rsidRPr="007B0ED8" w:rsidRDefault="00A149DC" w:rsidP="006E53D1">
      <w:pPr>
        <w:pStyle w:val="ListParagraph"/>
        <w:jc w:val="both"/>
        <w:rPr>
          <w:rFonts w:ascii="Times New Roman" w:hAnsi="Times New Roman" w:cs="Times New Roman"/>
          <w:sz w:val="8"/>
          <w:szCs w:val="8"/>
        </w:rPr>
      </w:pPr>
    </w:p>
    <w:p w14:paraId="0D7F0BD9" w14:textId="2BF75BC1" w:rsidR="00A149DC" w:rsidRPr="004923E7" w:rsidRDefault="00A149DC" w:rsidP="00A149DC">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An </w:t>
      </w:r>
      <w:r w:rsidRPr="004923E7">
        <w:rPr>
          <w:rFonts w:ascii="Times New Roman" w:hAnsi="Times New Roman" w:cs="Times New Roman"/>
          <w:b/>
          <w:bCs/>
          <w:sz w:val="16"/>
          <w:szCs w:val="16"/>
        </w:rPr>
        <w:t>income trust</w:t>
      </w:r>
      <w:r w:rsidRPr="004923E7">
        <w:rPr>
          <w:rFonts w:ascii="Times New Roman" w:hAnsi="Times New Roman" w:cs="Times New Roman"/>
          <w:sz w:val="16"/>
          <w:szCs w:val="16"/>
        </w:rPr>
        <w:t xml:space="preserve"> is an investment that may hold equities, debt instruments, royalty interests or real properties. It is especially useful for financial requirements of institutional investors such as pension funds, and for investors such as retired individuals seeking yield. The main attraction of income trusts, in addition to certain tax preferences for some investors, is their stated goal of paying out consistent cash flows for investors, which is especially attractive when cash yields on bonds are low. Many investors are attracted by the fact that income trusts are not allowed to make forays into unrelated businesses; if a trust is in the oil and gas business, it cannot buy casinos or motion picture studios.</w:t>
      </w:r>
    </w:p>
    <w:p w14:paraId="5D7F31F8" w14:textId="77777777" w:rsidR="00A149DC" w:rsidRPr="007B0ED8" w:rsidRDefault="00A149DC" w:rsidP="00A149DC">
      <w:pPr>
        <w:pStyle w:val="ListParagraph"/>
        <w:jc w:val="both"/>
        <w:rPr>
          <w:rFonts w:ascii="Times New Roman" w:hAnsi="Times New Roman" w:cs="Times New Roman"/>
          <w:sz w:val="8"/>
          <w:szCs w:val="8"/>
        </w:rPr>
      </w:pPr>
    </w:p>
    <w:p w14:paraId="5DF636DB" w14:textId="527A9D5B" w:rsidR="00A149DC" w:rsidRPr="004923E7" w:rsidRDefault="00A149DC" w:rsidP="00A149DC">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The names </w:t>
      </w:r>
      <w:r w:rsidRPr="004923E7">
        <w:rPr>
          <w:rFonts w:ascii="Times New Roman" w:hAnsi="Times New Roman" w:cs="Times New Roman"/>
          <w:b/>
          <w:bCs/>
          <w:i/>
          <w:iCs/>
          <w:sz w:val="16"/>
          <w:szCs w:val="16"/>
        </w:rPr>
        <w:t>income trust</w:t>
      </w:r>
      <w:r w:rsidRPr="004923E7">
        <w:rPr>
          <w:rFonts w:ascii="Times New Roman" w:hAnsi="Times New Roman" w:cs="Times New Roman"/>
          <w:sz w:val="16"/>
          <w:szCs w:val="16"/>
        </w:rPr>
        <w:t xml:space="preserve"> and </w:t>
      </w:r>
      <w:r w:rsidRPr="004923E7">
        <w:rPr>
          <w:rFonts w:ascii="Times New Roman" w:hAnsi="Times New Roman" w:cs="Times New Roman"/>
          <w:b/>
          <w:bCs/>
          <w:i/>
          <w:iCs/>
          <w:sz w:val="16"/>
          <w:szCs w:val="16"/>
        </w:rPr>
        <w:t>income fund</w:t>
      </w:r>
      <w:r w:rsidRPr="004923E7">
        <w:rPr>
          <w:rFonts w:ascii="Times New Roman" w:hAnsi="Times New Roman" w:cs="Times New Roman"/>
          <w:sz w:val="16"/>
          <w:szCs w:val="16"/>
        </w:rPr>
        <w:t xml:space="preserve"> are sometimes used interchangeably even though most trusts have a narrower scope than funds. Income trusts are </w:t>
      </w:r>
      <w:proofErr w:type="gramStart"/>
      <w:r w:rsidRPr="004923E7">
        <w:rPr>
          <w:rFonts w:ascii="Times New Roman" w:hAnsi="Times New Roman" w:cs="Times New Roman"/>
          <w:sz w:val="16"/>
          <w:szCs w:val="16"/>
        </w:rPr>
        <w:t>most commonly seen</w:t>
      </w:r>
      <w:proofErr w:type="gramEnd"/>
      <w:r w:rsidRPr="004923E7">
        <w:rPr>
          <w:rFonts w:ascii="Times New Roman" w:hAnsi="Times New Roman" w:cs="Times New Roman"/>
          <w:sz w:val="16"/>
          <w:szCs w:val="16"/>
        </w:rPr>
        <w:t xml:space="preserve"> in Canada. The closest analogue in the United States to the business and royalty trusts would be the master limited partnership. The trust can receive interest, royalty or lease payments from an operating entity carrying on a business, as well as dividends and a return of capital.</w:t>
      </w:r>
    </w:p>
    <w:p w14:paraId="57BCB17E" w14:textId="74CD1E10"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When taxed as a C-Corporation, the entity will pay corporate taxes before profit is distributed to members who will also be required to pay tax on their gains. </w:t>
      </w:r>
      <w:r w:rsidR="000A7DE9" w:rsidRPr="004923E7">
        <w:rPr>
          <w:rFonts w:ascii="Times New Roman" w:hAnsi="Times New Roman" w:cs="Times New Roman"/>
          <w:sz w:val="16"/>
          <w:szCs w:val="16"/>
        </w:rPr>
        <w:t>In short, they are subject to</w:t>
      </w:r>
      <w:r w:rsidRPr="004923E7">
        <w:rPr>
          <w:rFonts w:ascii="Times New Roman" w:hAnsi="Times New Roman" w:cs="Times New Roman"/>
          <w:sz w:val="16"/>
          <w:szCs w:val="16"/>
        </w:rPr>
        <w:t xml:space="preserve"> double taxation. Prior to electing a taxation form, members of the L3C should consider the personal tax consequences of each election form.</w:t>
      </w:r>
    </w:p>
    <w:p w14:paraId="6DFBECCA" w14:textId="5282F516"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lastRenderedPageBreak/>
        <w:t>Convertibility</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It is possible to convert from an existing legal form of business entity to an L3C and vice versa. Tax implications and formality requirements differ between each legal form of business entity and the different obligations from state-to-state.</w:t>
      </w:r>
      <w:r w:rsidR="000A7DE9" w:rsidRPr="004923E7">
        <w:rPr>
          <w:rFonts w:ascii="Times New Roman" w:hAnsi="Times New Roman" w:cs="Times New Roman"/>
          <w:sz w:val="16"/>
          <w:szCs w:val="16"/>
        </w:rPr>
        <w:t xml:space="preserve"> </w:t>
      </w:r>
    </w:p>
    <w:p w14:paraId="044428BB" w14:textId="2DB7D21C" w:rsidR="000A7DE9"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Legislation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The creation of L3C legislation is reliant on the establishment of a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 xml:space="preserve">state statute. To create such a statute, legislation must be passed that amends the state's general limited liability company (LLC) law. </w:t>
      </w:r>
    </w:p>
    <w:p w14:paraId="4EF14DF8" w14:textId="2C8F2A21" w:rsidR="00FD0CEA" w:rsidRPr="004923E7" w:rsidRDefault="00FD0CEA" w:rsidP="000A7DE9">
      <w:pPr>
        <w:pStyle w:val="ListParagraph"/>
        <w:jc w:val="both"/>
        <w:rPr>
          <w:rFonts w:ascii="Times New Roman" w:hAnsi="Times New Roman" w:cs="Times New Roman"/>
          <w:sz w:val="16"/>
          <w:szCs w:val="16"/>
        </w:rPr>
      </w:pPr>
      <w:r w:rsidRPr="004923E7">
        <w:rPr>
          <w:rFonts w:ascii="Times New Roman" w:hAnsi="Times New Roman" w:cs="Times New Roman"/>
          <w:b/>
          <w:bCs/>
          <w:sz w:val="16"/>
          <w:szCs w:val="16"/>
        </w:rPr>
        <w:t>Note</w:t>
      </w:r>
      <w:r w:rsidR="000A7DE9" w:rsidRPr="004923E7">
        <w:rPr>
          <w:rFonts w:ascii="Times New Roman" w:hAnsi="Times New Roman" w:cs="Times New Roman"/>
          <w:sz w:val="16"/>
          <w:szCs w:val="16"/>
        </w:rPr>
        <w:t>: A</w:t>
      </w:r>
      <w:r w:rsidRPr="004923E7">
        <w:rPr>
          <w:rFonts w:ascii="Times New Roman" w:hAnsi="Times New Roman" w:cs="Times New Roman"/>
          <w:sz w:val="16"/>
          <w:szCs w:val="16"/>
        </w:rPr>
        <w:t xml:space="preserve"> business can operate as an L3C within a state that does not have an L3C statute by incorporating in a state that does have an L3C statute and filing as a foreign firm doing business.</w:t>
      </w:r>
      <w:r w:rsidR="000A7DE9" w:rsidRPr="004923E7">
        <w:rPr>
          <w:rFonts w:ascii="Times New Roman" w:hAnsi="Times New Roman" w:cs="Times New Roman"/>
          <w:sz w:val="16"/>
          <w:szCs w:val="16"/>
        </w:rPr>
        <w:t xml:space="preserve"> </w:t>
      </w:r>
    </w:p>
    <w:p w14:paraId="24554856" w14:textId="77777777" w:rsidR="000A7DE9"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Vermont was the first state to pass an L3C statute in April 2008 which effectively allowed for the L3C legal form to operate in every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w:t>
      </w:r>
      <w:r w:rsidR="000A7DE9" w:rsidRPr="004923E7">
        <w:rPr>
          <w:rFonts w:ascii="Times New Roman" w:hAnsi="Times New Roman" w:cs="Times New Roman"/>
          <w:sz w:val="16"/>
          <w:szCs w:val="16"/>
        </w:rPr>
        <w:t xml:space="preserve">, as well as </w:t>
      </w:r>
      <w:r w:rsidRPr="004923E7">
        <w:rPr>
          <w:rFonts w:ascii="Times New Roman" w:hAnsi="Times New Roman" w:cs="Times New Roman"/>
          <w:sz w:val="16"/>
          <w:szCs w:val="16"/>
        </w:rPr>
        <w:t xml:space="preserve">internationally. </w:t>
      </w:r>
    </w:p>
    <w:p w14:paraId="1A48F0A6" w14:textId="51B8DCD5" w:rsidR="00FD0CEA" w:rsidRPr="004923E7" w:rsidRDefault="00FD0CEA" w:rsidP="000A7DE9">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b/>
          <w:bCs/>
          <w:sz w:val="16"/>
          <w:szCs w:val="16"/>
        </w:rPr>
        <w:t xml:space="preserve">L3C statutes currently </w:t>
      </w:r>
      <w:proofErr w:type="gramStart"/>
      <w:r w:rsidRPr="004923E7">
        <w:rPr>
          <w:rFonts w:ascii="Times New Roman" w:hAnsi="Times New Roman" w:cs="Times New Roman"/>
          <w:b/>
          <w:bCs/>
          <w:sz w:val="16"/>
          <w:szCs w:val="16"/>
        </w:rPr>
        <w:t>exists</w:t>
      </w:r>
      <w:proofErr w:type="gramEnd"/>
      <w:r w:rsidRPr="004923E7">
        <w:rPr>
          <w:rFonts w:ascii="Times New Roman" w:hAnsi="Times New Roman" w:cs="Times New Roman"/>
          <w:b/>
          <w:bCs/>
          <w:sz w:val="16"/>
          <w:szCs w:val="16"/>
        </w:rPr>
        <w:t xml:space="preserve"> in</w:t>
      </w:r>
      <w:r w:rsidRPr="004923E7">
        <w:rPr>
          <w:rFonts w:ascii="Times New Roman" w:hAnsi="Times New Roman" w:cs="Times New Roman"/>
          <w:sz w:val="16"/>
          <w:szCs w:val="16"/>
        </w:rPr>
        <w:t xml:space="preserve">: Illinois, Louisiana, Maine, Michigan, Missouri, North Dakota, Rhode Island, Utah, Vermont, Wyoming, Puerto Rico, and the federal jurisdictions of the Crow Indian Nation of Montana and the Oglala Sioux Tribe. Legislation has been written for 26 additional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states but has not yet been introduced.</w:t>
      </w:r>
      <w:r w:rsidR="000A7DE9" w:rsidRPr="004923E7">
        <w:rPr>
          <w:rFonts w:ascii="Times New Roman" w:hAnsi="Times New Roman" w:cs="Times New Roman"/>
          <w:sz w:val="16"/>
          <w:szCs w:val="16"/>
        </w:rPr>
        <w:t xml:space="preserve"> </w:t>
      </w:r>
    </w:p>
    <w:p w14:paraId="7B44C3B4" w14:textId="1E1CF759"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In </w:t>
      </w:r>
      <w:proofErr w:type="gramStart"/>
      <w:r w:rsidRPr="004923E7">
        <w:rPr>
          <w:rFonts w:ascii="Times New Roman" w:hAnsi="Times New Roman" w:cs="Times New Roman"/>
          <w:sz w:val="16"/>
          <w:szCs w:val="16"/>
        </w:rPr>
        <w:t>May,</w:t>
      </w:r>
      <w:proofErr w:type="gramEnd"/>
      <w:r w:rsidRPr="004923E7">
        <w:rPr>
          <w:rFonts w:ascii="Times New Roman" w:hAnsi="Times New Roman" w:cs="Times New Roman"/>
          <w:sz w:val="16"/>
          <w:szCs w:val="16"/>
        </w:rPr>
        <w:t xml:space="preserve"> 2012, the IRS released proposed regulations that broaden the landscape of what constitutes an acceptable PRI by adding nine new examples of investments that would qualify, along with some general principles. An amendment to the Illinois L3C law that would allow for a more expansive description of the purposes for which L3Cs can be created, consistent with the proposed examples of PRIs set forth by the IRS in 2012, unanimously passed the Illinois Senate on April 17, 2013, and has been referred to the Illinois House Rules Committee. The expanded clause would make Illinois the first state to authorize L3Cs whose purposes may reflect the whole range of statutorily sanctioned PRIs to include religious, scientific, and literary organizations. Legislation is also pending at federal level that will simplify the process for receiving IRS approval that an investment qualifies as a PRI.</w:t>
      </w:r>
      <w:r w:rsidR="000A7DE9" w:rsidRPr="004923E7">
        <w:rPr>
          <w:rFonts w:ascii="Times New Roman" w:hAnsi="Times New Roman" w:cs="Times New Roman"/>
          <w:sz w:val="16"/>
          <w:szCs w:val="16"/>
        </w:rPr>
        <w:t xml:space="preserve"> </w:t>
      </w:r>
    </w:p>
    <w:p w14:paraId="1814C176" w14:textId="3013389D" w:rsidR="00FD0CEA" w:rsidRPr="004923E7" w:rsidRDefault="00FD0CEA" w:rsidP="000A7DE9">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Previously, North Carolina authorized L3Cs. However, as of January 1st, 2014, the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 xml:space="preserve">state no longer recognizes the L3C legal structure. North Carolina did away with the L3C structure </w:t>
      </w:r>
      <w:r w:rsidR="000A7DE9" w:rsidRPr="004923E7">
        <w:rPr>
          <w:rFonts w:ascii="Times New Roman" w:hAnsi="Times New Roman" w:cs="Times New Roman"/>
          <w:sz w:val="16"/>
          <w:szCs w:val="16"/>
        </w:rPr>
        <w:t xml:space="preserve">mainly </w:t>
      </w:r>
      <w:r w:rsidRPr="004923E7">
        <w:rPr>
          <w:rFonts w:ascii="Times New Roman" w:hAnsi="Times New Roman" w:cs="Times New Roman"/>
          <w:sz w:val="16"/>
          <w:szCs w:val="16"/>
        </w:rPr>
        <w:t xml:space="preserve">because lawmakers stated that a </w:t>
      </w:r>
      <w:r w:rsidR="000A7DE9" w:rsidRPr="004923E7">
        <w:rPr>
          <w:rFonts w:ascii="Times New Roman" w:hAnsi="Times New Roman" w:cs="Times New Roman"/>
          <w:sz w:val="16"/>
          <w:szCs w:val="16"/>
        </w:rPr>
        <w:t xml:space="preserve">traditional </w:t>
      </w:r>
      <w:r w:rsidRPr="004923E7">
        <w:rPr>
          <w:rFonts w:ascii="Times New Roman" w:hAnsi="Times New Roman" w:cs="Times New Roman"/>
          <w:sz w:val="16"/>
          <w:szCs w:val="16"/>
        </w:rPr>
        <w:t xml:space="preserve">LLC can be used for the same purpose. </w:t>
      </w:r>
      <w:r w:rsidR="000A7DE9" w:rsidRPr="004923E7">
        <w:rPr>
          <w:rFonts w:ascii="Times New Roman" w:hAnsi="Times New Roman" w:cs="Times New Roman"/>
          <w:b/>
          <w:bCs/>
          <w:i/>
          <w:iCs/>
          <w:sz w:val="16"/>
          <w:szCs w:val="16"/>
        </w:rPr>
        <w:t>However, p</w:t>
      </w:r>
      <w:r w:rsidRPr="004923E7">
        <w:rPr>
          <w:rFonts w:ascii="Times New Roman" w:hAnsi="Times New Roman" w:cs="Times New Roman"/>
          <w:b/>
          <w:bCs/>
          <w:i/>
          <w:iCs/>
          <w:sz w:val="16"/>
          <w:szCs w:val="16"/>
        </w:rPr>
        <w:t>reviously existing L3Cs incorporated in North Carolina can continue to use their designation</w:t>
      </w:r>
      <w:r w:rsidR="000A7DE9" w:rsidRPr="004923E7">
        <w:rPr>
          <w:rFonts w:ascii="Times New Roman" w:hAnsi="Times New Roman" w:cs="Times New Roman"/>
          <w:sz w:val="16"/>
          <w:szCs w:val="16"/>
        </w:rPr>
        <w:t>, while</w:t>
      </w:r>
      <w:r w:rsidRPr="004923E7">
        <w:rPr>
          <w:rFonts w:ascii="Times New Roman" w:hAnsi="Times New Roman" w:cs="Times New Roman"/>
          <w:sz w:val="16"/>
          <w:szCs w:val="16"/>
        </w:rPr>
        <w:t xml:space="preserve"> entities wishing to </w:t>
      </w:r>
      <w:r w:rsidR="000A7DE9" w:rsidRPr="004923E7">
        <w:rPr>
          <w:rFonts w:ascii="Times New Roman" w:hAnsi="Times New Roman" w:cs="Times New Roman"/>
          <w:sz w:val="16"/>
          <w:szCs w:val="16"/>
        </w:rPr>
        <w:t>operate as</w:t>
      </w:r>
      <w:r w:rsidRPr="004923E7">
        <w:rPr>
          <w:rFonts w:ascii="Times New Roman" w:hAnsi="Times New Roman" w:cs="Times New Roman"/>
          <w:sz w:val="16"/>
          <w:szCs w:val="16"/>
        </w:rPr>
        <w:t xml:space="preserve"> an L3C within North Carolina can incorporate within a</w:t>
      </w:r>
      <w:r w:rsidR="000A7DE9" w:rsidRPr="004923E7">
        <w:rPr>
          <w:rFonts w:ascii="Times New Roman" w:hAnsi="Times New Roman" w:cs="Times New Roman"/>
          <w:sz w:val="16"/>
          <w:szCs w:val="16"/>
        </w:rPr>
        <w:t>nother U.S.</w:t>
      </w:r>
      <w:r w:rsidRPr="004923E7">
        <w:rPr>
          <w:rFonts w:ascii="Times New Roman" w:hAnsi="Times New Roman" w:cs="Times New Roman"/>
          <w:sz w:val="16"/>
          <w:szCs w:val="16"/>
        </w:rPr>
        <w:t xml:space="preserve"> state </w:t>
      </w:r>
      <w:r w:rsidR="000A7DE9" w:rsidRPr="004923E7">
        <w:rPr>
          <w:rFonts w:ascii="Times New Roman" w:hAnsi="Times New Roman" w:cs="Times New Roman"/>
          <w:sz w:val="16"/>
          <w:szCs w:val="16"/>
        </w:rPr>
        <w:t xml:space="preserve">that recognizes an </w:t>
      </w:r>
      <w:r w:rsidRPr="004923E7">
        <w:rPr>
          <w:rFonts w:ascii="Times New Roman" w:hAnsi="Times New Roman" w:cs="Times New Roman"/>
          <w:sz w:val="16"/>
          <w:szCs w:val="16"/>
        </w:rPr>
        <w:t xml:space="preserve">L3C </w:t>
      </w:r>
      <w:r w:rsidR="000A7DE9" w:rsidRPr="004923E7">
        <w:rPr>
          <w:rFonts w:ascii="Times New Roman" w:hAnsi="Times New Roman" w:cs="Times New Roman"/>
          <w:sz w:val="16"/>
          <w:szCs w:val="16"/>
        </w:rPr>
        <w:t>structure</w:t>
      </w:r>
      <w:r w:rsidRPr="004923E7">
        <w:rPr>
          <w:rFonts w:ascii="Times New Roman" w:hAnsi="Times New Roman" w:cs="Times New Roman"/>
          <w:sz w:val="16"/>
          <w:szCs w:val="16"/>
        </w:rPr>
        <w:t xml:space="preserve"> while continuing to operate in North Carolina.</w:t>
      </w:r>
      <w:r w:rsidR="000A7DE9" w:rsidRPr="004923E7">
        <w:rPr>
          <w:rFonts w:ascii="Times New Roman" w:hAnsi="Times New Roman" w:cs="Times New Roman"/>
          <w:sz w:val="16"/>
          <w:szCs w:val="16"/>
        </w:rPr>
        <w:t xml:space="preserve"> </w:t>
      </w:r>
    </w:p>
    <w:p w14:paraId="3207DE2D" w14:textId="38269A30"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Funding</w:t>
      </w:r>
      <w:r w:rsidR="007B0ED8">
        <w:rPr>
          <w:rFonts w:ascii="Times New Roman" w:hAnsi="Times New Roman" w:cs="Times New Roman"/>
          <w:b/>
          <w:bCs/>
          <w:sz w:val="16"/>
          <w:szCs w:val="16"/>
        </w:rPr>
        <w:t xml:space="preserve">: </w:t>
      </w:r>
      <w:r w:rsidR="000A7DE9" w:rsidRPr="004923E7">
        <w:rPr>
          <w:rFonts w:ascii="Times New Roman" w:hAnsi="Times New Roman" w:cs="Times New Roman"/>
          <w:sz w:val="16"/>
          <w:szCs w:val="16"/>
        </w:rPr>
        <w:t>To reiterate,</w:t>
      </w:r>
      <w:r w:rsidRPr="004923E7">
        <w:rPr>
          <w:rFonts w:ascii="Times New Roman" w:hAnsi="Times New Roman" w:cs="Times New Roman"/>
          <w:sz w:val="16"/>
          <w:szCs w:val="16"/>
        </w:rPr>
        <w:t xml:space="preserve"> the initial inspiration for the L3C form was to create a way for foundations to meet donation requirements. However, beyond foundations, L3Cs see funding and investments from a variety of sources including trusts, endowments, pension funds, individual investors, corporations, other businesses, and even government entities. To simplify the understanding of how L3C funding traditionally flows, it is beneficial to break it into three segments.</w:t>
      </w:r>
      <w:hyperlink r:id="rId8" w:anchor="cite_note-:53-22" w:history="1">
        <w:r w:rsidRPr="004923E7">
          <w:rPr>
            <w:rStyle w:val="Hyperlink"/>
            <w:rFonts w:ascii="Times New Roman" w:hAnsi="Times New Roman" w:cs="Times New Roman"/>
            <w:sz w:val="16"/>
            <w:szCs w:val="16"/>
            <w:vertAlign w:val="superscript"/>
          </w:rPr>
          <w:t>[22]</w:t>
        </w:r>
      </w:hyperlink>
    </w:p>
    <w:p w14:paraId="72E32F7F" w14:textId="77777777" w:rsidR="00FD0CEA" w:rsidRPr="004923E7" w:rsidRDefault="00FD0CEA" w:rsidP="007B0ED8">
      <w:pPr>
        <w:jc w:val="both"/>
        <w:rPr>
          <w:rFonts w:ascii="Times New Roman" w:hAnsi="Times New Roman" w:cs="Times New Roman"/>
          <w:sz w:val="16"/>
          <w:szCs w:val="16"/>
        </w:rPr>
      </w:pPr>
      <w:r w:rsidRPr="004923E7">
        <w:rPr>
          <w:rFonts w:ascii="Times New Roman" w:hAnsi="Times New Roman" w:cs="Times New Roman"/>
          <w:b/>
          <w:bCs/>
          <w:sz w:val="16"/>
          <w:szCs w:val="16"/>
        </w:rPr>
        <w:t>Segment I: Investment from foundations for PRI</w:t>
      </w:r>
      <w:r w:rsidRPr="004923E7">
        <w:rPr>
          <w:rFonts w:ascii="Times New Roman" w:hAnsi="Times New Roman" w:cs="Times New Roman"/>
          <w:sz w:val="16"/>
          <w:szCs w:val="16"/>
        </w:rPr>
        <w:t xml:space="preserve"> </w:t>
      </w:r>
    </w:p>
    <w:p w14:paraId="10A22276" w14:textId="1DA901A5"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The IRS mandates that foundations direct 5% of their annual funds to charitable or educational purposes to keep their tax-exempt status. Traditionally this is achieved via grants to non-profit organizations; however, program-related investments (PRIs) serve as an alternative option and can be preferred as it creates the potential for a return on investment.</w:t>
      </w:r>
      <w:r w:rsidR="000A7DE9" w:rsidRPr="004923E7">
        <w:rPr>
          <w:rFonts w:ascii="Times New Roman" w:hAnsi="Times New Roman" w:cs="Times New Roman"/>
          <w:sz w:val="16"/>
          <w:szCs w:val="16"/>
        </w:rPr>
        <w:t xml:space="preserve"> </w:t>
      </w:r>
    </w:p>
    <w:p w14:paraId="3710BE24" w14:textId="40CC18D6"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A PRI can be made to either a for-profit or non-profit entity. It can be performed as a loan, loan guarantee, equity purchase, or another investment form so long as it achieves a charitable purchase.</w:t>
      </w:r>
      <w:r w:rsidR="000A7DE9" w:rsidRPr="004923E7">
        <w:rPr>
          <w:rFonts w:ascii="Times New Roman" w:hAnsi="Times New Roman" w:cs="Times New Roman"/>
          <w:sz w:val="16"/>
          <w:szCs w:val="16"/>
        </w:rPr>
        <w:t xml:space="preserve"> </w:t>
      </w:r>
    </w:p>
    <w:p w14:paraId="185B4A8A" w14:textId="1A126D94" w:rsidR="00FD0CEA" w:rsidRPr="004923E7" w:rsidRDefault="00FD0CEA" w:rsidP="0072224A">
      <w:pPr>
        <w:numPr>
          <w:ilvl w:val="1"/>
          <w:numId w:val="7"/>
        </w:numPr>
        <w:jc w:val="both"/>
        <w:rPr>
          <w:rFonts w:ascii="Times New Roman" w:hAnsi="Times New Roman" w:cs="Times New Roman"/>
          <w:sz w:val="16"/>
          <w:szCs w:val="16"/>
        </w:rPr>
      </w:pPr>
      <w:proofErr w:type="gramStart"/>
      <w:r w:rsidRPr="004923E7">
        <w:rPr>
          <w:rFonts w:ascii="Times New Roman" w:hAnsi="Times New Roman" w:cs="Times New Roman"/>
          <w:sz w:val="16"/>
          <w:szCs w:val="16"/>
        </w:rPr>
        <w:t>By definition, L3Cs</w:t>
      </w:r>
      <w:proofErr w:type="gramEnd"/>
      <w:r w:rsidRPr="004923E7">
        <w:rPr>
          <w:rFonts w:ascii="Times New Roman" w:hAnsi="Times New Roman" w:cs="Times New Roman"/>
          <w:sz w:val="16"/>
          <w:szCs w:val="16"/>
        </w:rPr>
        <w:t xml:space="preserve"> must outline in their operating agreements how they will meet the provisions of IRS Treasury Regs.Sec.53.4944-3(a) which indicates the requirements for PRIs. However, because the IRS has not determined that all L3Cs have met PRI requirements, firms can receive a Private Letter Ruling (PLR) from the IRS to verify their status as qualified PRI recipients. Receiving a PLR is a costly and time-consuming endeavor.</w:t>
      </w:r>
      <w:r w:rsidR="000A7DE9" w:rsidRPr="004923E7">
        <w:rPr>
          <w:rFonts w:ascii="Times New Roman" w:hAnsi="Times New Roman" w:cs="Times New Roman"/>
          <w:sz w:val="16"/>
          <w:szCs w:val="16"/>
        </w:rPr>
        <w:t xml:space="preserve"> </w:t>
      </w:r>
    </w:p>
    <w:p w14:paraId="01475359" w14:textId="56CAA017"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However, receiving a PLR often opens up L3Cs to more PRI funding.</w:t>
      </w:r>
      <w:r w:rsidR="000A7DE9" w:rsidRPr="004923E7">
        <w:rPr>
          <w:rFonts w:ascii="Times New Roman" w:hAnsi="Times New Roman" w:cs="Times New Roman"/>
          <w:sz w:val="16"/>
          <w:szCs w:val="16"/>
        </w:rPr>
        <w:t xml:space="preserve"> </w:t>
      </w:r>
    </w:p>
    <w:p w14:paraId="28552E30" w14:textId="77777777" w:rsidR="00FD0CEA" w:rsidRPr="004923E7" w:rsidRDefault="00FD0CEA" w:rsidP="007B0ED8">
      <w:pPr>
        <w:jc w:val="both"/>
        <w:rPr>
          <w:rFonts w:ascii="Times New Roman" w:hAnsi="Times New Roman" w:cs="Times New Roman"/>
          <w:sz w:val="16"/>
          <w:szCs w:val="16"/>
        </w:rPr>
      </w:pPr>
      <w:r w:rsidRPr="004923E7">
        <w:rPr>
          <w:rFonts w:ascii="Times New Roman" w:hAnsi="Times New Roman" w:cs="Times New Roman"/>
          <w:b/>
          <w:bCs/>
          <w:sz w:val="16"/>
          <w:szCs w:val="16"/>
        </w:rPr>
        <w:t>Segment II: Investment from corporations, businesses, and individuals</w:t>
      </w:r>
      <w:r w:rsidRPr="004923E7">
        <w:rPr>
          <w:rFonts w:ascii="Times New Roman" w:hAnsi="Times New Roman" w:cs="Times New Roman"/>
          <w:sz w:val="16"/>
          <w:szCs w:val="16"/>
        </w:rPr>
        <w:t xml:space="preserve"> </w:t>
      </w:r>
    </w:p>
    <w:p w14:paraId="66D9AB66" w14:textId="7A907409"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In addition to funding from PRIs, L3Cs may see funding come from corporations, businesses, and individuals. These parties are often seeking a higher return on investment than PRIs.</w:t>
      </w:r>
      <w:r w:rsidR="000A7DE9" w:rsidRPr="004923E7">
        <w:rPr>
          <w:rFonts w:ascii="Times New Roman" w:hAnsi="Times New Roman" w:cs="Times New Roman"/>
          <w:sz w:val="16"/>
          <w:szCs w:val="16"/>
        </w:rPr>
        <w:t xml:space="preserve"> </w:t>
      </w:r>
    </w:p>
    <w:p w14:paraId="479143BB" w14:textId="77777777" w:rsidR="00FD0CEA" w:rsidRPr="004923E7" w:rsidRDefault="00FD0CEA" w:rsidP="0072224A">
      <w:pPr>
        <w:numPr>
          <w:ilvl w:val="1"/>
          <w:numId w:val="7"/>
        </w:numPr>
        <w:jc w:val="both"/>
        <w:rPr>
          <w:rFonts w:ascii="Times New Roman" w:hAnsi="Times New Roman" w:cs="Times New Roman"/>
          <w:sz w:val="16"/>
          <w:szCs w:val="16"/>
        </w:rPr>
      </w:pPr>
      <w:proofErr w:type="gramStart"/>
      <w:r w:rsidRPr="004923E7">
        <w:rPr>
          <w:rFonts w:ascii="Times New Roman" w:hAnsi="Times New Roman" w:cs="Times New Roman"/>
          <w:sz w:val="16"/>
          <w:szCs w:val="16"/>
        </w:rPr>
        <w:t>Similar to</w:t>
      </w:r>
      <w:proofErr w:type="gramEnd"/>
      <w:r w:rsidRPr="004923E7">
        <w:rPr>
          <w:rFonts w:ascii="Times New Roman" w:hAnsi="Times New Roman" w:cs="Times New Roman"/>
          <w:sz w:val="16"/>
          <w:szCs w:val="16"/>
        </w:rPr>
        <w:t xml:space="preserve"> PRIs, this funding can be received in numerous forms including loans, loan guarantees, equity purchases, or any other investment vehicle form.</w:t>
      </w:r>
    </w:p>
    <w:p w14:paraId="2AE02CA9" w14:textId="5038F9A3"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Note that for an L3C to sell securities, it will have to follow SEC guidelines to conduct a legal and proper sale.</w:t>
      </w:r>
      <w:r w:rsidR="000A7DE9" w:rsidRPr="004923E7">
        <w:rPr>
          <w:rFonts w:ascii="Times New Roman" w:hAnsi="Times New Roman" w:cs="Times New Roman"/>
          <w:sz w:val="16"/>
          <w:szCs w:val="16"/>
        </w:rPr>
        <w:t xml:space="preserve"> </w:t>
      </w:r>
    </w:p>
    <w:p w14:paraId="751E0D0F" w14:textId="71135FE9"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 xml:space="preserve">Individual investors will also likely have to achieve accredited investor status as governed by the SEC. One exception to this requirement is through the 2012 JOBS Act, Regulation D, which </w:t>
      </w:r>
      <w:proofErr w:type="gramStart"/>
      <w:r w:rsidRPr="004923E7">
        <w:rPr>
          <w:rFonts w:ascii="Times New Roman" w:hAnsi="Times New Roman" w:cs="Times New Roman"/>
          <w:sz w:val="16"/>
          <w:szCs w:val="16"/>
        </w:rPr>
        <w:t>allows for</w:t>
      </w:r>
      <w:proofErr w:type="gramEnd"/>
      <w:r w:rsidRPr="004923E7">
        <w:rPr>
          <w:rFonts w:ascii="Times New Roman" w:hAnsi="Times New Roman" w:cs="Times New Roman"/>
          <w:sz w:val="16"/>
          <w:szCs w:val="16"/>
        </w:rPr>
        <w:t xml:space="preserve"> the public to purchase equity in private companies via crowdfunding.</w:t>
      </w:r>
      <w:r w:rsidR="000A7DE9" w:rsidRPr="004923E7">
        <w:rPr>
          <w:rFonts w:ascii="Times New Roman" w:hAnsi="Times New Roman" w:cs="Times New Roman"/>
          <w:sz w:val="16"/>
          <w:szCs w:val="16"/>
        </w:rPr>
        <w:t xml:space="preserve"> </w:t>
      </w:r>
    </w:p>
    <w:p w14:paraId="1CE7E519" w14:textId="77777777" w:rsidR="00FD0CEA" w:rsidRPr="004923E7" w:rsidRDefault="00FD0CEA" w:rsidP="007B0ED8">
      <w:pPr>
        <w:jc w:val="both"/>
        <w:rPr>
          <w:rFonts w:ascii="Times New Roman" w:hAnsi="Times New Roman" w:cs="Times New Roman"/>
          <w:sz w:val="16"/>
          <w:szCs w:val="16"/>
        </w:rPr>
      </w:pPr>
      <w:r w:rsidRPr="004923E7">
        <w:rPr>
          <w:rFonts w:ascii="Times New Roman" w:hAnsi="Times New Roman" w:cs="Times New Roman"/>
          <w:b/>
          <w:bCs/>
          <w:sz w:val="16"/>
          <w:szCs w:val="16"/>
        </w:rPr>
        <w:t>Segment III: Funding from banks and financial institutions</w:t>
      </w:r>
      <w:r w:rsidRPr="004923E7">
        <w:rPr>
          <w:rFonts w:ascii="Times New Roman" w:hAnsi="Times New Roman" w:cs="Times New Roman"/>
          <w:sz w:val="16"/>
          <w:szCs w:val="16"/>
        </w:rPr>
        <w:t xml:space="preserve"> </w:t>
      </w:r>
    </w:p>
    <w:p w14:paraId="074CB23F" w14:textId="0D76C767"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The final segment for funding is through banks and financial institutions.</w:t>
      </w:r>
      <w:r w:rsidR="000A7DE9" w:rsidRPr="004923E7">
        <w:rPr>
          <w:rFonts w:ascii="Times New Roman" w:hAnsi="Times New Roman" w:cs="Times New Roman"/>
          <w:sz w:val="16"/>
          <w:szCs w:val="16"/>
        </w:rPr>
        <w:t xml:space="preserve"> </w:t>
      </w:r>
    </w:p>
    <w:p w14:paraId="245EDD46" w14:textId="54AA5BE5"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 xml:space="preserve">This type of financing is often done through </w:t>
      </w:r>
      <w:proofErr w:type="gramStart"/>
      <w:r w:rsidRPr="004923E7">
        <w:rPr>
          <w:rFonts w:ascii="Times New Roman" w:hAnsi="Times New Roman" w:cs="Times New Roman"/>
          <w:sz w:val="16"/>
          <w:szCs w:val="16"/>
        </w:rPr>
        <w:t>loans</w:t>
      </w:r>
      <w:proofErr w:type="gramEnd"/>
      <w:r w:rsidRPr="004923E7">
        <w:rPr>
          <w:rFonts w:ascii="Times New Roman" w:hAnsi="Times New Roman" w:cs="Times New Roman"/>
          <w:sz w:val="16"/>
          <w:szCs w:val="16"/>
        </w:rPr>
        <w:t xml:space="preserve"> which can be difficult for a new venture to receive due to a lack of credit history and limited assets that can be used as collateral. One option for receiving a loan with limited credit is to seek out a Small Business Administration (SBA) backed loan.</w:t>
      </w:r>
      <w:r w:rsidR="00A149DC" w:rsidRPr="004923E7">
        <w:rPr>
          <w:rFonts w:ascii="Times New Roman" w:hAnsi="Times New Roman" w:cs="Times New Roman"/>
          <w:sz w:val="16"/>
          <w:szCs w:val="16"/>
        </w:rPr>
        <w:t xml:space="preserve"> </w:t>
      </w:r>
    </w:p>
    <w:p w14:paraId="665B9DB8" w14:textId="20468DC9"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One benefit to this type of funding is that return on investment is usually set at a particular yield meaning these institutions take on risk but receive a capped return; however, in return for their risk and lack of upside reward they seek a liquidation preference.</w:t>
      </w:r>
    </w:p>
    <w:p w14:paraId="203943C5" w14:textId="1857ECCA"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Pros and cons</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Since the creation of L3Cs, there have been both proponents and opponents to this legal form of business entity.</w:t>
      </w:r>
      <w:hyperlink r:id="rId9" w:anchor="cite_note-:62-4" w:history="1">
        <w:r w:rsidRPr="004923E7">
          <w:rPr>
            <w:rStyle w:val="Hyperlink"/>
            <w:rFonts w:ascii="Times New Roman" w:hAnsi="Times New Roman" w:cs="Times New Roman"/>
            <w:sz w:val="16"/>
            <w:szCs w:val="16"/>
            <w:vertAlign w:val="superscript"/>
          </w:rPr>
          <w:t>[4]</w:t>
        </w:r>
      </w:hyperlink>
      <w:r w:rsidRPr="004923E7">
        <w:rPr>
          <w:rFonts w:ascii="Times New Roman" w:hAnsi="Times New Roman" w:cs="Times New Roman"/>
          <w:sz w:val="16"/>
          <w:szCs w:val="16"/>
        </w:rPr>
        <w:t xml:space="preserve"> Below outlines several key arguments for both sides.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4923E7" w14:paraId="50614F7C" w14:textId="77777777" w:rsidTr="004961DE">
        <w:trPr>
          <w:tblCellSpacing w:w="15" w:type="dxa"/>
        </w:trPr>
        <w:tc>
          <w:tcPr>
            <w:tcW w:w="0" w:type="auto"/>
            <w:vAlign w:val="center"/>
            <w:hideMark/>
          </w:tcPr>
          <w:p w14:paraId="4FE99E0E" w14:textId="77777777" w:rsidR="00FD0CEA" w:rsidRPr="004923E7" w:rsidRDefault="00FD0CEA" w:rsidP="007B0ED8">
            <w:pPr>
              <w:jc w:val="center"/>
              <w:rPr>
                <w:rFonts w:ascii="Times New Roman" w:hAnsi="Times New Roman" w:cs="Times New Roman"/>
                <w:b/>
                <w:bCs/>
                <w:sz w:val="16"/>
                <w:szCs w:val="16"/>
              </w:rPr>
            </w:pPr>
            <w:r w:rsidRPr="004923E7">
              <w:rPr>
                <w:rFonts w:ascii="Times New Roman" w:hAnsi="Times New Roman" w:cs="Times New Roman"/>
                <w:b/>
                <w:bCs/>
                <w:sz w:val="16"/>
                <w:szCs w:val="16"/>
              </w:rPr>
              <w:t>Pros</w:t>
            </w:r>
          </w:p>
        </w:tc>
      </w:tr>
      <w:tr w:rsidR="00FD0CEA" w:rsidRPr="004923E7" w14:paraId="041539BC" w14:textId="77777777" w:rsidTr="004961DE">
        <w:trPr>
          <w:tblCellSpacing w:w="15" w:type="dxa"/>
        </w:trPr>
        <w:tc>
          <w:tcPr>
            <w:tcW w:w="0" w:type="auto"/>
            <w:vAlign w:val="center"/>
            <w:hideMark/>
          </w:tcPr>
          <w:p w14:paraId="40331E11" w14:textId="0A6A1C53"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L3Cs can attract a large amount of funding from foundations and institutions that are less risk-averse than typical investors because there is limited yield expectation.</w:t>
            </w:r>
            <w:r w:rsidR="00A149DC" w:rsidRPr="004923E7">
              <w:rPr>
                <w:rFonts w:ascii="Times New Roman" w:hAnsi="Times New Roman" w:cs="Times New Roman"/>
                <w:sz w:val="16"/>
                <w:szCs w:val="16"/>
              </w:rPr>
              <w:t xml:space="preserve"> </w:t>
            </w:r>
          </w:p>
        </w:tc>
      </w:tr>
      <w:tr w:rsidR="00FD0CEA" w:rsidRPr="004923E7" w14:paraId="738B42B1" w14:textId="77777777" w:rsidTr="004961DE">
        <w:trPr>
          <w:tblCellSpacing w:w="15" w:type="dxa"/>
        </w:trPr>
        <w:tc>
          <w:tcPr>
            <w:tcW w:w="0" w:type="auto"/>
            <w:vAlign w:val="center"/>
            <w:hideMark/>
          </w:tcPr>
          <w:p w14:paraId="3D54A6AE" w14:textId="17211D67"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lastRenderedPageBreak/>
              <w:t>There is a simple filing process compared to other legal forms of business entities.</w:t>
            </w:r>
            <w:r w:rsidR="00A149DC" w:rsidRPr="004923E7">
              <w:rPr>
                <w:rFonts w:ascii="Times New Roman" w:hAnsi="Times New Roman" w:cs="Times New Roman"/>
                <w:sz w:val="16"/>
                <w:szCs w:val="16"/>
              </w:rPr>
              <w:t xml:space="preserve"> </w:t>
            </w:r>
          </w:p>
        </w:tc>
      </w:tr>
      <w:tr w:rsidR="00FD0CEA" w:rsidRPr="004923E7" w14:paraId="187FB3EE" w14:textId="77777777" w:rsidTr="004961DE">
        <w:trPr>
          <w:tblCellSpacing w:w="15" w:type="dxa"/>
        </w:trPr>
        <w:tc>
          <w:tcPr>
            <w:tcW w:w="0" w:type="auto"/>
            <w:vAlign w:val="center"/>
            <w:hideMark/>
          </w:tcPr>
          <w:p w14:paraId="408A6634" w14:textId="0F53531A"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L3Cs are immediately recognized as brands with a socially beneficial purchase. People buy more frequently from businesses with a social mission. In 2020, 77% of consumers indicated that they are motivated to purchase from a company that is committed to "making the world a better place."</w:t>
            </w:r>
            <w:r w:rsidR="00A149DC" w:rsidRPr="004923E7">
              <w:rPr>
                <w:rFonts w:ascii="Times New Roman" w:hAnsi="Times New Roman" w:cs="Times New Roman"/>
                <w:sz w:val="16"/>
                <w:szCs w:val="16"/>
              </w:rPr>
              <w:t xml:space="preserve"> </w:t>
            </w:r>
          </w:p>
        </w:tc>
      </w:tr>
      <w:tr w:rsidR="00FD0CEA" w:rsidRPr="004923E7" w14:paraId="3DF78EF3" w14:textId="77777777" w:rsidTr="004961DE">
        <w:trPr>
          <w:tblCellSpacing w:w="15" w:type="dxa"/>
        </w:trPr>
        <w:tc>
          <w:tcPr>
            <w:tcW w:w="0" w:type="auto"/>
            <w:vAlign w:val="center"/>
            <w:hideMark/>
          </w:tcPr>
          <w:p w14:paraId="76267F89" w14:textId="7F14A83B"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 xml:space="preserve">L3Cs mission may attract more employees. In 2020, 60% of employees indicated they would take a </w:t>
            </w:r>
            <w:proofErr w:type="gramStart"/>
            <w:r w:rsidRPr="004923E7">
              <w:rPr>
                <w:rFonts w:ascii="Times New Roman" w:hAnsi="Times New Roman" w:cs="Times New Roman"/>
                <w:sz w:val="16"/>
                <w:szCs w:val="16"/>
              </w:rPr>
              <w:t>pay-cut</w:t>
            </w:r>
            <w:proofErr w:type="gramEnd"/>
            <w:r w:rsidRPr="004923E7">
              <w:rPr>
                <w:rFonts w:ascii="Times New Roman" w:hAnsi="Times New Roman" w:cs="Times New Roman"/>
                <w:sz w:val="16"/>
                <w:szCs w:val="16"/>
              </w:rPr>
              <w:t xml:space="preserve"> to work at a firm that has a purpose-driven mission.</w:t>
            </w:r>
            <w:r w:rsidR="00A149DC" w:rsidRPr="004923E7">
              <w:rPr>
                <w:rFonts w:ascii="Times New Roman" w:hAnsi="Times New Roman" w:cs="Times New Roman"/>
                <w:sz w:val="16"/>
                <w:szCs w:val="16"/>
              </w:rPr>
              <w:t xml:space="preserve"> </w:t>
            </w:r>
          </w:p>
        </w:tc>
      </w:tr>
      <w:tr w:rsidR="00FD0CEA" w:rsidRPr="004923E7" w14:paraId="286ECC24" w14:textId="77777777" w:rsidTr="004961DE">
        <w:trPr>
          <w:tblCellSpacing w:w="15" w:type="dxa"/>
        </w:trPr>
        <w:tc>
          <w:tcPr>
            <w:tcW w:w="0" w:type="auto"/>
            <w:vAlign w:val="center"/>
            <w:hideMark/>
          </w:tcPr>
          <w:p w14:paraId="5D33D492" w14:textId="11188C8D"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L3Cs have greater flexibility in determining the financial and non-financial rights of their owners as compared to corporations including benefit corporations.</w:t>
            </w:r>
            <w:r w:rsidR="00A149DC" w:rsidRPr="004923E7">
              <w:rPr>
                <w:rFonts w:ascii="Times New Roman" w:hAnsi="Times New Roman" w:cs="Times New Roman"/>
                <w:sz w:val="16"/>
                <w:szCs w:val="16"/>
              </w:rPr>
              <w:t xml:space="preserve"> </w:t>
            </w:r>
          </w:p>
        </w:tc>
      </w:tr>
    </w:tbl>
    <w:p w14:paraId="3D9A5885" w14:textId="77777777" w:rsidR="00FD0CEA" w:rsidRPr="004923E7" w:rsidRDefault="00FD0CEA" w:rsidP="0072224A">
      <w:pPr>
        <w:jc w:val="both"/>
        <w:rPr>
          <w:rFonts w:ascii="Times New Roman" w:hAnsi="Times New Roman" w:cs="Times New Roman"/>
          <w:vanish/>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4923E7" w14:paraId="4CAD31E2" w14:textId="77777777" w:rsidTr="004961DE">
        <w:trPr>
          <w:tblCellSpacing w:w="15" w:type="dxa"/>
        </w:trPr>
        <w:tc>
          <w:tcPr>
            <w:tcW w:w="0" w:type="auto"/>
            <w:vAlign w:val="center"/>
            <w:hideMark/>
          </w:tcPr>
          <w:p w14:paraId="6542BF2E" w14:textId="77777777" w:rsidR="00FD0CEA" w:rsidRPr="004923E7" w:rsidRDefault="00FD0CEA" w:rsidP="007B0ED8">
            <w:pPr>
              <w:jc w:val="center"/>
              <w:rPr>
                <w:rFonts w:ascii="Times New Roman" w:hAnsi="Times New Roman" w:cs="Times New Roman"/>
                <w:b/>
                <w:bCs/>
                <w:sz w:val="16"/>
                <w:szCs w:val="16"/>
              </w:rPr>
            </w:pPr>
            <w:r w:rsidRPr="004923E7">
              <w:rPr>
                <w:rFonts w:ascii="Times New Roman" w:hAnsi="Times New Roman" w:cs="Times New Roman"/>
                <w:b/>
                <w:bCs/>
                <w:sz w:val="16"/>
                <w:szCs w:val="16"/>
              </w:rPr>
              <w:t>Cons</w:t>
            </w:r>
          </w:p>
        </w:tc>
      </w:tr>
      <w:tr w:rsidR="00FD0CEA" w:rsidRPr="004923E7" w14:paraId="0CB229C0" w14:textId="77777777" w:rsidTr="004961DE">
        <w:trPr>
          <w:tblCellSpacing w:w="15" w:type="dxa"/>
        </w:trPr>
        <w:tc>
          <w:tcPr>
            <w:tcW w:w="0" w:type="auto"/>
            <w:vAlign w:val="center"/>
            <w:hideMark/>
          </w:tcPr>
          <w:p w14:paraId="2B5F93B4" w14:textId="122AB26B"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The IRS has yet to officially confirm that all L3Cs qualify for PRIs. Thus, some foundations are hesitant to make financial commitments to L3Cs. To verify a firm can receive PRIs, L3Cs can obtain a Private Letter Ruling (PLR) from the IRS which verifies the firm's status as being an acceptable recipient of PRIs. Private Letter Rulings can take 12 to 18 months to be processed and average legal fees of over $50,000 along with a substantial IRS fee as well.</w:t>
            </w:r>
            <w:r w:rsidR="00A149DC" w:rsidRPr="004923E7">
              <w:rPr>
                <w:rFonts w:ascii="Times New Roman" w:hAnsi="Times New Roman" w:cs="Times New Roman"/>
                <w:sz w:val="16"/>
                <w:szCs w:val="16"/>
              </w:rPr>
              <w:t xml:space="preserve"> </w:t>
            </w:r>
          </w:p>
        </w:tc>
      </w:tr>
      <w:tr w:rsidR="00FD0CEA" w:rsidRPr="004923E7" w14:paraId="3743D441" w14:textId="77777777" w:rsidTr="004961DE">
        <w:trPr>
          <w:tblCellSpacing w:w="15" w:type="dxa"/>
        </w:trPr>
        <w:tc>
          <w:tcPr>
            <w:tcW w:w="0" w:type="auto"/>
            <w:vAlign w:val="center"/>
            <w:hideMark/>
          </w:tcPr>
          <w:p w14:paraId="29F8578F" w14:textId="5131012F"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Many attorneys and lawmakers argue that L3Cs can perform the same functions that a </w:t>
            </w:r>
            <w:proofErr w:type="spellStart"/>
            <w:proofErr w:type="gramStart"/>
            <w:r w:rsidRPr="004923E7">
              <w:rPr>
                <w:rFonts w:ascii="Times New Roman" w:hAnsi="Times New Roman" w:cs="Times New Roman"/>
                <w:b/>
                <w:bCs/>
                <w:i/>
                <w:iCs/>
                <w:sz w:val="16"/>
                <w:szCs w:val="16"/>
              </w:rPr>
              <w:t>well crafted</w:t>
            </w:r>
            <w:proofErr w:type="spellEnd"/>
            <w:proofErr w:type="gramEnd"/>
            <w:r w:rsidRPr="004923E7">
              <w:rPr>
                <w:rFonts w:ascii="Times New Roman" w:hAnsi="Times New Roman" w:cs="Times New Roman"/>
                <w:sz w:val="16"/>
                <w:szCs w:val="16"/>
              </w:rPr>
              <w:t xml:space="preserve"> LLC can do.</w:t>
            </w:r>
            <w:r w:rsidR="00A149DC" w:rsidRPr="004923E7">
              <w:rPr>
                <w:rFonts w:ascii="Times New Roman" w:hAnsi="Times New Roman" w:cs="Times New Roman"/>
                <w:sz w:val="16"/>
                <w:szCs w:val="16"/>
              </w:rPr>
              <w:t xml:space="preserve"> </w:t>
            </w:r>
          </w:p>
        </w:tc>
      </w:tr>
      <w:tr w:rsidR="00FD0CEA" w:rsidRPr="004923E7" w14:paraId="6DEA80AF" w14:textId="77777777" w:rsidTr="004961DE">
        <w:trPr>
          <w:tblCellSpacing w:w="15" w:type="dxa"/>
        </w:trPr>
        <w:tc>
          <w:tcPr>
            <w:tcW w:w="0" w:type="auto"/>
            <w:vAlign w:val="center"/>
            <w:hideMark/>
          </w:tcPr>
          <w:p w14:paraId="40328A25" w14:textId="0FB533FD"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The number of states that have L3C statutes is still very </w:t>
            </w:r>
            <w:proofErr w:type="gramStart"/>
            <w:r w:rsidRPr="004923E7">
              <w:rPr>
                <w:rFonts w:ascii="Times New Roman" w:hAnsi="Times New Roman" w:cs="Times New Roman"/>
                <w:sz w:val="16"/>
                <w:szCs w:val="16"/>
              </w:rPr>
              <w:t>limited</w:t>
            </w:r>
            <w:proofErr w:type="gramEnd"/>
            <w:r w:rsidRPr="004923E7">
              <w:rPr>
                <w:rFonts w:ascii="Times New Roman" w:hAnsi="Times New Roman" w:cs="Times New Roman"/>
                <w:sz w:val="16"/>
                <w:szCs w:val="16"/>
              </w:rPr>
              <w:t xml:space="preserve"> which requires foreign firms to follow additional formalities to </w:t>
            </w:r>
            <w:r w:rsidRPr="004923E7">
              <w:rPr>
                <w:rFonts w:ascii="Times New Roman" w:hAnsi="Times New Roman" w:cs="Times New Roman"/>
                <w:b/>
                <w:bCs/>
                <w:sz w:val="16"/>
                <w:szCs w:val="16"/>
              </w:rPr>
              <w:t>legally</w:t>
            </w:r>
            <w:r w:rsidRPr="004923E7">
              <w:rPr>
                <w:rFonts w:ascii="Times New Roman" w:hAnsi="Times New Roman" w:cs="Times New Roman"/>
                <w:sz w:val="16"/>
                <w:szCs w:val="16"/>
              </w:rPr>
              <w:t xml:space="preserve"> operate.</w:t>
            </w:r>
            <w:r w:rsidR="00A149DC" w:rsidRPr="004923E7">
              <w:rPr>
                <w:rFonts w:ascii="Times New Roman" w:hAnsi="Times New Roman" w:cs="Times New Roman"/>
                <w:sz w:val="16"/>
                <w:szCs w:val="16"/>
              </w:rPr>
              <w:t xml:space="preserve"> </w:t>
            </w:r>
          </w:p>
        </w:tc>
      </w:tr>
      <w:tr w:rsidR="00FD0CEA" w:rsidRPr="004923E7" w14:paraId="375C862D" w14:textId="77777777" w:rsidTr="004961DE">
        <w:trPr>
          <w:tblCellSpacing w:w="15" w:type="dxa"/>
        </w:trPr>
        <w:tc>
          <w:tcPr>
            <w:tcW w:w="0" w:type="auto"/>
            <w:vAlign w:val="center"/>
            <w:hideMark/>
          </w:tcPr>
          <w:p w14:paraId="5857B235" w14:textId="0660EE8F"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While not yet proven, some proponents of L3Cs theorize that foundations will preference low-yield </w:t>
            </w:r>
            <w:r w:rsidR="004923E7" w:rsidRPr="004923E7">
              <w:rPr>
                <w:rFonts w:ascii="Times New Roman" w:hAnsi="Times New Roman" w:cs="Times New Roman"/>
                <w:b/>
                <w:bCs/>
                <w:sz w:val="16"/>
                <w:szCs w:val="16"/>
              </w:rPr>
              <w:t>program-related investments</w:t>
            </w:r>
            <w:r w:rsidR="004923E7" w:rsidRPr="004923E7">
              <w:rPr>
                <w:rFonts w:ascii="Times New Roman" w:hAnsi="Times New Roman" w:cs="Times New Roman"/>
                <w:sz w:val="16"/>
                <w:szCs w:val="16"/>
              </w:rPr>
              <w:t xml:space="preserve"> </w:t>
            </w:r>
            <w:r w:rsidR="004923E7">
              <w:rPr>
                <w:rFonts w:ascii="Times New Roman" w:hAnsi="Times New Roman" w:cs="Times New Roman"/>
                <w:sz w:val="16"/>
                <w:szCs w:val="16"/>
              </w:rPr>
              <w:t>(</w:t>
            </w:r>
            <w:r w:rsidRPr="004923E7">
              <w:rPr>
                <w:rFonts w:ascii="Times New Roman" w:hAnsi="Times New Roman" w:cs="Times New Roman"/>
                <w:sz w:val="16"/>
                <w:szCs w:val="16"/>
              </w:rPr>
              <w:t>PRIs</w:t>
            </w:r>
            <w:r w:rsidR="004923E7">
              <w:rPr>
                <w:rFonts w:ascii="Times New Roman" w:hAnsi="Times New Roman" w:cs="Times New Roman"/>
                <w:sz w:val="16"/>
                <w:szCs w:val="16"/>
              </w:rPr>
              <w:t>)</w:t>
            </w:r>
            <w:r w:rsidRPr="004923E7">
              <w:rPr>
                <w:rFonts w:ascii="Times New Roman" w:hAnsi="Times New Roman" w:cs="Times New Roman"/>
                <w:sz w:val="16"/>
                <w:szCs w:val="16"/>
              </w:rPr>
              <w:t xml:space="preserve"> to grants. Thus, charities that rely on grant money will be harmed in the process.</w:t>
            </w:r>
            <w:r w:rsidR="00A149DC" w:rsidRPr="004923E7">
              <w:rPr>
                <w:rFonts w:ascii="Times New Roman" w:hAnsi="Times New Roman" w:cs="Times New Roman"/>
                <w:sz w:val="16"/>
                <w:szCs w:val="16"/>
              </w:rPr>
              <w:t xml:space="preserve"> </w:t>
            </w:r>
          </w:p>
        </w:tc>
      </w:tr>
    </w:tbl>
    <w:p w14:paraId="1B7D83CB" w14:textId="2B97CD57"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Examples of L3Cs</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The types of businesses that can become L3Cs </w:t>
      </w:r>
      <w:proofErr w:type="gramStart"/>
      <w:r w:rsidRPr="004923E7">
        <w:rPr>
          <w:rFonts w:ascii="Times New Roman" w:hAnsi="Times New Roman" w:cs="Times New Roman"/>
          <w:sz w:val="16"/>
          <w:szCs w:val="16"/>
        </w:rPr>
        <w:t>is</w:t>
      </w:r>
      <w:proofErr w:type="gramEnd"/>
      <w:r w:rsidRPr="004923E7">
        <w:rPr>
          <w:rFonts w:ascii="Times New Roman" w:hAnsi="Times New Roman" w:cs="Times New Roman"/>
          <w:sz w:val="16"/>
          <w:szCs w:val="16"/>
        </w:rPr>
        <w:t xml:space="preserve"> broad and usually acceptable </w:t>
      </w:r>
      <w:proofErr w:type="gramStart"/>
      <w:r w:rsidRPr="004923E7">
        <w:rPr>
          <w:rFonts w:ascii="Times New Roman" w:hAnsi="Times New Roman" w:cs="Times New Roman"/>
          <w:sz w:val="16"/>
          <w:szCs w:val="16"/>
        </w:rPr>
        <w:t>as long as</w:t>
      </w:r>
      <w:proofErr w:type="gramEnd"/>
      <w:r w:rsidRPr="004923E7">
        <w:rPr>
          <w:rFonts w:ascii="Times New Roman" w:hAnsi="Times New Roman" w:cs="Times New Roman"/>
          <w:sz w:val="16"/>
          <w:szCs w:val="16"/>
        </w:rPr>
        <w:t xml:space="preserve"> it meets state statute requirements. Existing L3C businesses are in fields including but not limited </w:t>
      </w:r>
      <w:proofErr w:type="gramStart"/>
      <w:r w:rsidRPr="004923E7">
        <w:rPr>
          <w:rFonts w:ascii="Times New Roman" w:hAnsi="Times New Roman" w:cs="Times New Roman"/>
          <w:sz w:val="16"/>
          <w:szCs w:val="16"/>
        </w:rPr>
        <w:t>to:</w:t>
      </w:r>
      <w:proofErr w:type="gramEnd"/>
      <w:r w:rsidRPr="004923E7">
        <w:rPr>
          <w:rFonts w:ascii="Times New Roman" w:hAnsi="Times New Roman" w:cs="Times New Roman"/>
          <w:sz w:val="16"/>
          <w:szCs w:val="16"/>
        </w:rPr>
        <w:t xml:space="preserve"> alternative energy, food bank processing, media consulting, art funding, job creation programs, economic development, real estate, environmental remediation, and medical research. One example is SEEDR L3C, founded in 2008 in Atlanta to develop hardware, software, service, and policy solutions that help improve access to healthcare in Africa. In 2009, the Gates Foundation gave SEEDR L3C a $529,566 investment to fund the development of insulated containers for vaccine transport in developing countries. Today, SEEDR L3C's clients and funders include the US Centers for Disease Control &amp; Prevention (CDC), Medecins Sans Frontieres (MSF), and UNICEF.</w:t>
      </w:r>
      <w:r w:rsidR="00A149DC" w:rsidRPr="004923E7">
        <w:rPr>
          <w:rFonts w:ascii="Times New Roman" w:hAnsi="Times New Roman" w:cs="Times New Roman"/>
          <w:sz w:val="16"/>
          <w:szCs w:val="16"/>
        </w:rPr>
        <w:t xml:space="preserve"> </w:t>
      </w:r>
    </w:p>
    <w:p w14:paraId="6A43F8D6" w14:textId="77777777" w:rsidR="00FD0CEA" w:rsidRDefault="00FD0CEA" w:rsidP="0072224A">
      <w:pPr>
        <w:jc w:val="both"/>
        <w:rPr>
          <w:rFonts w:ascii="Times New Roman" w:hAnsi="Times New Roman" w:cs="Times New Roman"/>
          <w:sz w:val="20"/>
          <w:szCs w:val="20"/>
        </w:rPr>
      </w:pPr>
    </w:p>
    <w:p w14:paraId="4E8B43D7" w14:textId="77777777" w:rsidR="00293A94" w:rsidRPr="00C237FF" w:rsidRDefault="00293A94" w:rsidP="00293A94">
      <w:pPr>
        <w:jc w:val="center"/>
        <w:rPr>
          <w:rFonts w:ascii="Times New Roman" w:hAnsi="Times New Roman" w:cs="Times New Roman"/>
          <w:sz w:val="2"/>
          <w:szCs w:val="2"/>
        </w:rPr>
      </w:pPr>
    </w:p>
    <w:p w14:paraId="4FB67A7A" w14:textId="77777777" w:rsidR="00293A94" w:rsidRPr="004B4EFF" w:rsidRDefault="00293A94" w:rsidP="00293A94">
      <w:pPr>
        <w:jc w:val="center"/>
        <w:rPr>
          <w:rFonts w:ascii="Times New Roman" w:hAnsi="Times New Roman" w:cs="Times New Roman"/>
          <w:sz w:val="20"/>
          <w:szCs w:val="20"/>
        </w:rPr>
      </w:pPr>
      <w:r>
        <w:rPr>
          <w:rFonts w:ascii="Times New Roman" w:hAnsi="Times New Roman" w:cs="Times New Roman"/>
          <w:sz w:val="20"/>
          <w:szCs w:val="20"/>
        </w:rPr>
        <w:t>--- END OF DOCUMENT ---</w:t>
      </w:r>
    </w:p>
    <w:p w14:paraId="30AF4232" w14:textId="77777777" w:rsidR="00293A94" w:rsidRPr="002C7334" w:rsidRDefault="00293A94" w:rsidP="0072224A">
      <w:pPr>
        <w:jc w:val="both"/>
        <w:rPr>
          <w:rFonts w:ascii="Times New Roman" w:hAnsi="Times New Roman" w:cs="Times New Roman"/>
          <w:sz w:val="20"/>
          <w:szCs w:val="20"/>
        </w:rPr>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Law-Concepts Research Brief — Adverse Possession, Seditious Conspiracy &amp; Treason, L3C</w:t>
      </w:r>
    </w:p>
    <w:p>
      <w:pPr>
        <w:jc w:val="both"/>
      </w:pPr>
      <w:r>
        <w:rPr>
          <w:rFonts w:ascii="EB Garamond" w:hAnsi="EB Garamond" w:cs="EB Garamond"/>
          <w:b/>
          <w:i w:val="0"/>
          <w:color w:val="26282E"/>
          <w:sz w:val="21"/>
        </w:rPr>
        <w:t>Exhibit docs covered</w:t>
      </w:r>
      <w:r>
        <w:rPr>
          <w:rFonts w:ascii="EB Garamond" w:hAnsi="EB Garamond" w:cs="EB Garamond"/>
          <w:b w:val="0"/>
          <w:i w:val="0"/>
          <w:color w:val="26282E"/>
          <w:sz w:val="21"/>
        </w:rPr>
        <w:t xml:space="preserve"> (</w:t>
      </w:r>
      <w:r>
        <w:rPr>
          <w:rFonts w:ascii="Montserrat" w:hAnsi="Montserrat" w:cs="Montserrat"/>
          <w:b w:val="0"/>
          <w:i w:val="0"/>
          <w:color w:val="3A4356"/>
          <w:sz w:val="16"/>
        </w:rPr>
        <w:t>raw/</w:t>
      </w:r>
      <w:r>
        <w:rPr>
          <w:rFonts w:ascii="EB Garamond" w:hAnsi="EB Garamond" w:cs="EB Garamond"/>
          <w:b w:val="0"/>
          <w:i w:val="0"/>
          <w:color w:val="26282E"/>
          <w:sz w:val="21"/>
        </w:rPr>
        <w:t xml:space="preserve">): </w:t>
      </w:r>
      <w:r>
        <w:rPr>
          <w:rFonts w:ascii="Montserrat" w:hAnsi="Montserrat" w:cs="Montserrat"/>
          <w:b w:val="0"/>
          <w:i w:val="0"/>
          <w:color w:val="3A4356"/>
          <w:sz w:val="16"/>
        </w:rPr>
        <w:t>Squatting or Adverse possession.md</w:t>
      </w:r>
      <w:r>
        <w:rPr>
          <w:rFonts w:ascii="EB Garamond" w:hAnsi="EB Garamond" w:cs="EB Garamond"/>
          <w:b w:val="0"/>
          <w:i w:val="0"/>
          <w:color w:val="26282E"/>
          <w:sz w:val="21"/>
        </w:rPr>
        <w:t xml:space="preserve"> (93 KB, 561 lines) and </w:t>
      </w:r>
      <w:r>
        <w:rPr>
          <w:rFonts w:ascii="Montserrat" w:hAnsi="Montserrat" w:cs="Montserrat"/>
          <w:b w:val="0"/>
          <w:i w:val="0"/>
          <w:color w:val="3A4356"/>
          <w:sz w:val="16"/>
        </w:rPr>
        <w:t>DISCLAIMER - Seditious Conspiracy &amp; Treason via L3C formation.md</w:t>
      </w:r>
      <w:r>
        <w:rPr>
          <w:rFonts w:ascii="EB Garamond" w:hAnsi="EB Garamond" w:cs="EB Garamond"/>
          <w:b w:val="0"/>
          <w:i w:val="0"/>
          <w:color w:val="26282E"/>
          <w:sz w:val="21"/>
        </w:rPr>
        <w:t xml:space="preserve"> (52 KB, 287 lines) plus its </w:t>
      </w:r>
      <w:r>
        <w:rPr>
          <w:rFonts w:ascii="Montserrat" w:hAnsi="Montserrat" w:cs="Montserrat"/>
          <w:b w:val="0"/>
          <w:i w:val="0"/>
          <w:color w:val="3A4356"/>
          <w:sz w:val="16"/>
        </w:rPr>
        <w:t>VERSION 1</w:t>
      </w:r>
      <w:r>
        <w:rPr>
          <w:rFonts w:ascii="EB Garamond" w:hAnsi="EB Garamond" w:cs="EB Garamond"/>
          <w:b w:val="0"/>
          <w:i w:val="0"/>
          <w:color w:val="26282E"/>
          <w:sz w:val="21"/>
        </w:rPr>
        <w:t xml:space="preserve"> variant (same topic; diff noted in §1.3). Educational-exhibit context: keep every word, test every claim. Method note: each claim below was checked against primary sources (statutes at uscode.house.gov / NY Senate / Cornell LII; court opinions at Cornell, CourtListener, Justia; AP reporting; NARA). Written 2026-10-13.</w:t>
      </w:r>
    </w:p>
    <w:p>
      <w:pPr>
        <w:pBdr>
          <w:bottom w:val="single" w:sz="6" w:space="1" w:color="B9975B"/>
        </w:pBdr>
      </w:pPr>
    </w:p>
    <w:p>
      <w:pPr>
        <w:keepNext/>
        <w:spacing w:before="240"/>
      </w:pPr>
      <w:r>
        <w:rPr>
          <w:rFonts w:ascii="EB Garamond" w:hAnsi="EB Garamond" w:cs="EB Garamond"/>
          <w:b/>
          <w:i w:val="0"/>
          <w:color w:val="1B2A41"/>
          <w:sz w:val="28"/>
        </w:rPr>
        <w:t>1. CLAIMS / CONTENT MAP</w:t>
      </w:r>
    </w:p>
    <w:p>
      <w:pPr>
        <w:jc w:val="both"/>
      </w:pPr>
      <w:r>
        <w:rPr>
          <w:rFonts w:ascii="EB Garamond" w:hAnsi="EB Garamond" w:cs="EB Garamond"/>
          <w:b w:val="0"/>
          <w:i w:val="0"/>
          <w:color w:val="26282E"/>
          <w:sz w:val="21"/>
        </w:rPr>
        <w:t>Both documents are "patchwork" texts: long stretches of accurate, Wikipedia-grade reference prose with sovereign-citizen pseudo-law spliced in. The pattern matters for exhibition — the reliable parts give the pseudo-law its camouflage.</w:t>
      </w:r>
    </w:p>
    <w:p>
      <w:pPr>
        <w:keepNext/>
      </w:pPr>
      <w:r>
        <w:rPr>
          <w:rFonts w:ascii="EB Garamond" w:hAnsi="EB Garamond" w:cs="EB Garamond"/>
          <w:b/>
          <w:i w:val="0"/>
          <w:color w:val="B54E1F"/>
          <w:sz w:val="23"/>
        </w:rPr>
        <w:t xml:space="preserve">1.1 </w:t>
      </w:r>
      <w:r>
        <w:rPr>
          <w:rFonts w:ascii="Montserrat" w:hAnsi="Montserrat" w:cs="Montserrat"/>
          <w:b w:val="0"/>
          <w:i w:val="0"/>
          <w:color w:val="3A4356"/>
          <w:sz w:val="18"/>
        </w:rPr>
        <w:t>Squatting or Adverse possession.md</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Content</w:t>
            </w:r>
          </w:p>
        </w:tc>
        <w:tc>
          <w:tcPr>
            <w:tcW w:type="dxa" w:w="3120"/>
            <w:shd w:val="clear" w:fill="EFEBE0"/>
          </w:tcPr>
          <w:p>
            <w:r>
              <w:rPr>
                <w:rFonts w:ascii="Montserrat" w:hAnsi="Montserrat" w:cs="Montserrat"/>
                <w:b/>
                <w:i w:val="0"/>
                <w:color w:val="1B2A41"/>
                <w:sz w:val="19"/>
              </w:rPr>
              <w:t>Verdict</w:t>
            </w:r>
          </w:p>
        </w:tc>
      </w:tr>
      <w:tr>
        <w:tc>
          <w:tcPr>
            <w:tcW w:type="dxa" w:w="3120"/>
          </w:tcPr>
          <w:p>
            <w:r>
              <w:rPr>
                <w:rFonts w:ascii="EB Garamond" w:hAnsi="EB Garamond" w:cs="EB Garamond"/>
                <w:b w:val="0"/>
                <w:i w:val="0"/>
                <w:color w:val="26282E"/>
                <w:sz w:val="19"/>
              </w:rPr>
              <w:t>1–3</w:t>
            </w:r>
          </w:p>
        </w:tc>
        <w:tc>
          <w:tcPr>
            <w:tcW w:type="dxa" w:w="3120"/>
          </w:tcPr>
          <w:p>
            <w:r>
              <w:rPr>
                <w:rFonts w:ascii="EB Garamond" w:hAnsi="EB Garamond" w:cs="EB Garamond"/>
                <w:b w:val="0"/>
                <w:i/>
                <w:color w:val="26282E"/>
                <w:sz w:val="19"/>
              </w:rPr>
              <w:t>Ignorantia juris non excusat</w:t>
            </w:r>
            <w:r>
              <w:rPr>
                <w:rFonts w:ascii="EB Garamond" w:hAnsi="EB Garamond" w:cs="EB Garamond"/>
                <w:b w:val="0"/>
                <w:i w:val="0"/>
                <w:color w:val="26282E"/>
                <w:sz w:val="19"/>
              </w:rPr>
              <w:t>, agnotology</w:t>
            </w:r>
          </w:p>
        </w:tc>
        <w:tc>
          <w:tcPr>
            <w:tcW w:type="dxa" w:w="3120"/>
          </w:tcPr>
          <w:p>
            <w:r>
              <w:rPr>
                <w:rFonts w:ascii="EB Garamond" w:hAnsi="EB Garamond" w:cs="EB Garamond"/>
                <w:b w:val="0"/>
                <w:i w:val="0"/>
                <w:color w:val="26282E"/>
                <w:sz w:val="19"/>
              </w:rPr>
              <w:t>Accurate reference material; thematically irrelevant to adverse possession</w:t>
            </w:r>
          </w:p>
        </w:tc>
      </w:tr>
      <w:tr>
        <w:tc>
          <w:tcPr>
            <w:tcW w:type="dxa" w:w="3120"/>
          </w:tcPr>
          <w:p>
            <w:r>
              <w:rPr>
                <w:rFonts w:ascii="EB Garamond" w:hAnsi="EB Garamond" w:cs="EB Garamond"/>
                <w:b w:val="0"/>
                <w:i w:val="0"/>
                <w:color w:val="26282E"/>
                <w:sz w:val="19"/>
              </w:rPr>
              <w:t>5–15</w:t>
            </w:r>
          </w:p>
        </w:tc>
        <w:tc>
          <w:tcPr>
            <w:tcW w:type="dxa" w:w="3120"/>
          </w:tcPr>
          <w:p>
            <w:r>
              <w:rPr>
                <w:rFonts w:ascii="EB Garamond" w:hAnsi="EB Garamond" w:cs="EB Garamond"/>
                <w:b w:val="0"/>
                <w:i w:val="0"/>
                <w:color w:val="26282E"/>
                <w:sz w:val="19"/>
              </w:rPr>
              <w:t>"Adverse abandonment" (STB / 49 U.S.C. § 10903 / Bankruptcy Code § 1170 rail-line abandonment)</w:t>
            </w:r>
          </w:p>
        </w:tc>
        <w:tc>
          <w:tcPr>
            <w:tcW w:type="dxa" w:w="3120"/>
          </w:tcPr>
          <w:p>
            <w:r>
              <w:rPr>
                <w:rFonts w:ascii="EB Garamond" w:hAnsi="EB Garamond" w:cs="EB Garamond"/>
                <w:b/>
                <w:i w:val="0"/>
                <w:color w:val="26282E"/>
                <w:sz w:val="19"/>
              </w:rPr>
              <w:t>Accurate but off-topic</w:t>
            </w:r>
            <w:r>
              <w:rPr>
                <w:rFonts w:ascii="EB Garamond" w:hAnsi="EB Garamond" w:cs="EB Garamond"/>
                <w:b w:val="0"/>
                <w:i w:val="0"/>
                <w:color w:val="26282E"/>
                <w:sz w:val="19"/>
              </w:rPr>
              <w:t xml:space="preserve"> — a real railroad-regulation term placed to make "adverse" do heavy lifting</w:t>
            </w:r>
          </w:p>
        </w:tc>
      </w:tr>
      <w:tr>
        <w:tc>
          <w:tcPr>
            <w:tcW w:type="dxa" w:w="3120"/>
          </w:tcPr>
          <w:p>
            <w:r>
              <w:rPr>
                <w:rFonts w:ascii="EB Garamond" w:hAnsi="EB Garamond" w:cs="EB Garamond"/>
                <w:b w:val="0"/>
                <w:i w:val="0"/>
                <w:color w:val="26282E"/>
                <w:sz w:val="19"/>
              </w:rPr>
              <w:t>17–37</w:t>
            </w:r>
          </w:p>
        </w:tc>
        <w:tc>
          <w:tcPr>
            <w:tcW w:type="dxa" w:w="3120"/>
          </w:tcPr>
          <w:p>
            <w:r>
              <w:rPr>
                <w:rFonts w:ascii="EB Garamond" w:hAnsi="EB Garamond" w:cs="EB Garamond"/>
                <w:b w:val="0"/>
                <w:i w:val="0"/>
                <w:color w:val="26282E"/>
                <w:sz w:val="19"/>
              </w:rPr>
              <w:t>Adverse possession / acquisitive prescription / usucaption intro; padded digressions on common law, statutes, sovereign states, polities, cities, legislatures</w:t>
            </w:r>
          </w:p>
        </w:tc>
        <w:tc>
          <w:tcPr>
            <w:tcW w:type="dxa" w:w="3120"/>
          </w:tcPr>
          <w:p>
            <w:r>
              <w:rPr>
                <w:rFonts w:ascii="EB Garamond" w:hAnsi="EB Garamond" w:cs="EB Garamond"/>
                <w:b w:val="0"/>
                <w:i w:val="0"/>
                <w:color w:val="26282E"/>
                <w:sz w:val="19"/>
              </w:rPr>
              <w:t xml:space="preserve">Core definition </w:t>
            </w:r>
            <w:r>
              <w:rPr>
                <w:rFonts w:ascii="EB Garamond" w:hAnsi="EB Garamond" w:cs="EB Garamond"/>
                <w:b/>
                <w:i w:val="0"/>
                <w:color w:val="26282E"/>
                <w:sz w:val="19"/>
              </w:rPr>
              <w:t>accurate</w:t>
            </w:r>
            <w:r>
              <w:rPr>
                <w:rFonts w:ascii="EB Garamond" w:hAnsi="EB Garamond" w:cs="EB Garamond"/>
                <w:b w:val="0"/>
                <w:i w:val="0"/>
                <w:color w:val="26282E"/>
                <w:sz w:val="19"/>
              </w:rPr>
              <w:t xml:space="preserve"> (elements, statute-of-limitations structure); the sovereign-state and "legal title cannot be acquired in an extralegal jurisdiction" (l.41) padding is thematic seeding for the sovCit use</w:t>
            </w:r>
          </w:p>
        </w:tc>
      </w:tr>
      <w:tr>
        <w:tc>
          <w:tcPr>
            <w:tcW w:type="dxa" w:w="3120"/>
          </w:tcPr>
          <w:p>
            <w:r>
              <w:rPr>
                <w:rFonts w:ascii="EB Garamond" w:hAnsi="EB Garamond" w:cs="EB Garamond"/>
                <w:b w:val="0"/>
                <w:i w:val="0"/>
                <w:color w:val="26282E"/>
                <w:sz w:val="19"/>
              </w:rPr>
              <w:t>39–69</w:t>
            </w:r>
          </w:p>
        </w:tc>
        <w:tc>
          <w:tcPr>
            <w:tcW w:type="dxa" w:w="3120"/>
          </w:tcPr>
          <w:p>
            <w:r>
              <w:rPr>
                <w:rFonts w:ascii="EB Garamond" w:hAnsi="EB Garamond" w:cs="EB Garamond"/>
                <w:b w:val="0"/>
                <w:i w:val="0"/>
                <w:color w:val="26282E"/>
                <w:sz w:val="19"/>
              </w:rPr>
              <w:t xml:space="preserve">General doctrine, Roman law, Limitation Act 1623, </w:t>
            </w:r>
            <w:r>
              <w:rPr>
                <w:rFonts w:ascii="EB Garamond" w:hAnsi="EB Garamond" w:cs="EB Garamond"/>
                <w:b w:val="0"/>
                <w:i/>
                <w:color w:val="26282E"/>
                <w:sz w:val="19"/>
              </w:rPr>
              <w:t>nullum tempus occurrit regi</w:t>
            </w:r>
            <w:r>
              <w:rPr>
                <w:rFonts w:ascii="EB Garamond" w:hAnsi="EB Garamond" w:cs="EB Garamond"/>
                <w:b w:val="0"/>
                <w:i w:val="0"/>
                <w:color w:val="26282E"/>
                <w:sz w:val="19"/>
              </w:rPr>
              <w:t xml:space="preserve"> (government land immune), Torrens systems</w:t>
            </w:r>
          </w:p>
        </w:tc>
        <w:tc>
          <w:tcPr>
            <w:tcW w:type="dxa" w:w="3120"/>
          </w:tcPr>
          <w:p>
            <w:r>
              <w:rPr>
                <w:rFonts w:ascii="EB Garamond" w:hAnsi="EB Garamond" w:cs="EB Garamond"/>
                <w:b/>
                <w:i w:val="0"/>
                <w:color w:val="26282E"/>
                <w:sz w:val="19"/>
              </w:rPr>
              <w:t>Accurate textbook material</w:t>
            </w:r>
          </w:p>
        </w:tc>
      </w:tr>
      <w:tr>
        <w:tc>
          <w:tcPr>
            <w:tcW w:type="dxa" w:w="3120"/>
          </w:tcPr>
          <w:p>
            <w:r>
              <w:rPr>
                <w:rFonts w:ascii="EB Garamond" w:hAnsi="EB Garamond" w:cs="EB Garamond"/>
                <w:b w:val="0"/>
                <w:i w:val="0"/>
                <w:color w:val="26282E"/>
                <w:sz w:val="19"/>
              </w:rPr>
              <w:t>71–103</w:t>
            </w:r>
          </w:p>
        </w:tc>
        <w:tc>
          <w:tcPr>
            <w:tcW w:type="dxa" w:w="3120"/>
          </w:tcPr>
          <w:p>
            <w:r>
              <w:rPr>
                <w:rFonts w:ascii="EB Garamond" w:hAnsi="EB Garamond" w:cs="EB Garamond"/>
                <w:b w:val="0"/>
                <w:i w:val="0"/>
                <w:color w:val="26282E"/>
                <w:sz w:val="19"/>
              </w:rPr>
              <w:t xml:space="preserve">England &amp; Wales: Limitation Act 1980, LRA 2002 sch. 6, </w:t>
            </w:r>
            <w:r>
              <w:rPr>
                <w:rFonts w:ascii="EB Garamond" w:hAnsi="EB Garamond" w:cs="EB Garamond"/>
                <w:b w:val="0"/>
                <w:i/>
                <w:color w:val="26282E"/>
                <w:sz w:val="19"/>
              </w:rPr>
              <w:t>JA Pye (Oxford) v Graham</w:t>
            </w:r>
            <w:r>
              <w:rPr>
                <w:rFonts w:ascii="EB Garamond" w:hAnsi="EB Garamond" w:cs="EB Garamond"/>
                <w:b w:val="0"/>
                <w:i w:val="0"/>
                <w:color w:val="26282E"/>
                <w:sz w:val="19"/>
              </w:rPr>
              <w:t xml:space="preserve">, </w:t>
            </w:r>
            <w:r>
              <w:rPr>
                <w:rFonts w:ascii="EB Garamond" w:hAnsi="EB Garamond" w:cs="EB Garamond"/>
                <w:b w:val="0"/>
                <w:i/>
                <w:color w:val="26282E"/>
                <w:sz w:val="19"/>
              </w:rPr>
              <w:t>Best v Chief Land Registrar</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(UK law is correct as stated)</w:t>
            </w:r>
          </w:p>
        </w:tc>
      </w:tr>
      <w:tr>
        <w:tc>
          <w:tcPr>
            <w:tcW w:type="dxa" w:w="3120"/>
          </w:tcPr>
          <w:p>
            <w:r>
              <w:rPr>
                <w:rFonts w:ascii="EB Garamond" w:hAnsi="EB Garamond" w:cs="EB Garamond"/>
                <w:b w:val="0"/>
                <w:i w:val="0"/>
                <w:color w:val="26282E"/>
                <w:sz w:val="19"/>
              </w:rPr>
              <w:t>105–151</w:t>
            </w:r>
          </w:p>
        </w:tc>
        <w:tc>
          <w:tcPr>
            <w:tcW w:type="dxa" w:w="3120"/>
          </w:tcPr>
          <w:p>
            <w:r>
              <w:rPr>
                <w:rFonts w:ascii="EB Garamond" w:hAnsi="EB Garamond" w:cs="EB Garamond"/>
                <w:b w:val="0"/>
                <w:i w:val="0"/>
                <w:color w:val="26282E"/>
                <w:sz w:val="19"/>
              </w:rPr>
              <w:t xml:space="preserve">US disseisor requirements, additional elements, </w:t>
            </w:r>
            <w:r>
              <w:rPr>
                <w:rFonts w:ascii="EB Garamond" w:hAnsi="EB Garamond" w:cs="EB Garamond"/>
                <w:b/>
                <w:i w:val="0"/>
                <w:color w:val="26282E"/>
                <w:sz w:val="19"/>
              </w:rPr>
              <w:t>2008 NY amendment</w:t>
            </w:r>
            <w:r>
              <w:rPr>
                <w:rFonts w:ascii="EB Garamond" w:hAnsi="EB Garamond" w:cs="EB Garamond"/>
                <w:b w:val="0"/>
                <w:i w:val="0"/>
                <w:color w:val="26282E"/>
                <w:sz w:val="19"/>
              </w:rPr>
              <w:t xml:space="preserve"> (l.127–133), </w:t>
            </w:r>
            <w:r>
              <w:rPr>
                <w:rFonts w:ascii="EB Garamond" w:hAnsi="EB Garamond" w:cs="EB Garamond"/>
                <w:b w:val="0"/>
                <w:i/>
                <w:color w:val="26282E"/>
                <w:sz w:val="19"/>
              </w:rPr>
              <w:t>Hudson Square Hotel</w:t>
            </w:r>
            <w:r>
              <w:rPr>
                <w:rFonts w:ascii="EB Garamond" w:hAnsi="EB Garamond" w:cs="EB Garamond"/>
                <w:b w:val="0"/>
                <w:i w:val="0"/>
                <w:color w:val="26282E"/>
                <w:sz w:val="19"/>
              </w:rPr>
              <w:t xml:space="preserve"> air-rights holding, quiet title, abutters</w:t>
            </w:r>
          </w:p>
        </w:tc>
        <w:tc>
          <w:tcPr>
            <w:tcW w:type="dxa" w:w="3120"/>
          </w:tcPr>
          <w:p>
            <w:r>
              <w:rPr>
                <w:rFonts w:ascii="EB Garamond" w:hAnsi="EB Garamond" w:cs="EB Garamond"/>
                <w:b w:val="0"/>
                <w:i w:val="0"/>
                <w:color w:val="26282E"/>
                <w:sz w:val="19"/>
              </w:rPr>
              <w:t xml:space="preserve">Mostly </w:t>
            </w:r>
            <w:r>
              <w:rPr>
                <w:rFonts w:ascii="EB Garamond" w:hAnsi="EB Garamond" w:cs="EB Garamond"/>
                <w:b/>
                <w:i w:val="0"/>
                <w:color w:val="26282E"/>
                <w:sz w:val="19"/>
              </w:rPr>
              <w:t>accurate</w:t>
            </w:r>
            <w:r>
              <w:rPr>
                <w:rFonts w:ascii="EB Garamond" w:hAnsi="EB Garamond" w:cs="EB Garamond"/>
                <w:b w:val="0"/>
                <w:i w:val="0"/>
                <w:color w:val="26282E"/>
                <w:sz w:val="19"/>
              </w:rPr>
              <w:t>; see §2.1 for the NY specifics it gets right and the Savannah River claim it garbles (l.151 — §3.8)</w:t>
            </w:r>
          </w:p>
        </w:tc>
      </w:tr>
      <w:tr>
        <w:tc>
          <w:tcPr>
            <w:tcW w:type="dxa" w:w="3120"/>
          </w:tcPr>
          <w:p>
            <w:r>
              <w:rPr>
                <w:rFonts w:ascii="EB Garamond" w:hAnsi="EB Garamond" w:cs="EB Garamond"/>
                <w:b w:val="0"/>
                <w:i w:val="0"/>
                <w:color w:val="26282E"/>
                <w:sz w:val="19"/>
              </w:rPr>
              <w:t>153–156</w:t>
            </w:r>
          </w:p>
        </w:tc>
        <w:tc>
          <w:tcPr>
            <w:tcW w:type="dxa" w:w="3120"/>
          </w:tcPr>
          <w:p>
            <w:r>
              <w:rPr>
                <w:rFonts w:ascii="EB Garamond" w:hAnsi="EB Garamond" w:cs="EB Garamond"/>
                <w:b w:val="0"/>
                <w:i w:val="0"/>
                <w:color w:val="26282E"/>
                <w:sz w:val="19"/>
              </w:rPr>
              <w:t>Louisiana acquisitive prescription, Civil Code art. 3473/742 structure (10-yr good-faith/just-title; 30-yr without)</w:t>
            </w:r>
          </w:p>
        </w:tc>
        <w:tc>
          <w:tcPr>
            <w:tcW w:type="dxa" w:w="3120"/>
          </w:tcPr>
          <w:p>
            <w:r>
              <w:rPr>
                <w:rFonts w:ascii="EB Garamond" w:hAnsi="EB Garamond" w:cs="EB Garamond"/>
                <w:b/>
                <w:i w:val="0"/>
                <w:color w:val="26282E"/>
                <w:sz w:val="19"/>
              </w:rPr>
              <w:t>Accurate</w:t>
            </w:r>
          </w:p>
        </w:tc>
      </w:tr>
      <w:tr>
        <w:tc>
          <w:tcPr>
            <w:tcW w:type="dxa" w:w="3120"/>
          </w:tcPr>
          <w:p>
            <w:r>
              <w:rPr>
                <w:rFonts w:ascii="EB Garamond" w:hAnsi="EB Garamond" w:cs="EB Garamond"/>
                <w:b w:val="0"/>
                <w:i w:val="0"/>
                <w:color w:val="26282E"/>
                <w:sz w:val="19"/>
              </w:rPr>
              <w:t>157–169</w:t>
            </w:r>
          </w:p>
        </w:tc>
        <w:tc>
          <w:tcPr>
            <w:tcW w:type="dxa" w:w="3120"/>
          </w:tcPr>
          <w:p>
            <w:r>
              <w:rPr>
                <w:rFonts w:ascii="EB Garamond" w:hAnsi="EB Garamond" w:cs="EB Garamond"/>
                <w:b w:val="0"/>
                <w:i w:val="0"/>
                <w:color w:val="26282E"/>
                <w:sz w:val="19"/>
              </w:rPr>
              <w:t>"Squatter's rights" defined; tacking/privity; clock resets; England LASPO s.144 vs adverse possession</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 this is the single most relevant passage for the NY squatter controversy (§2.1.4)</w:t>
            </w:r>
          </w:p>
        </w:tc>
      </w:tr>
      <w:tr>
        <w:tc>
          <w:tcPr>
            <w:tcW w:type="dxa" w:w="3120"/>
          </w:tcPr>
          <w:p>
            <w:r>
              <w:rPr>
                <w:rFonts w:ascii="EB Garamond" w:hAnsi="EB Garamond" w:cs="EB Garamond"/>
                <w:b w:val="0"/>
                <w:i w:val="0"/>
                <w:color w:val="26282E"/>
                <w:sz w:val="19"/>
              </w:rPr>
              <w:t>171–187</w:t>
            </w:r>
          </w:p>
        </w:tc>
        <w:tc>
          <w:tcPr>
            <w:tcW w:type="dxa" w:w="3120"/>
          </w:tcPr>
          <w:p>
            <w:r>
              <w:rPr>
                <w:rFonts w:ascii="EB Garamond" w:hAnsi="EB Garamond" w:cs="EB Garamond"/>
                <w:b w:val="0"/>
                <w:i w:val="0"/>
                <w:color w:val="26282E"/>
                <w:sz w:val="19"/>
              </w:rPr>
              <w:t>Utilitarian justifications; IP-law extension scholarship</w:t>
            </w:r>
          </w:p>
        </w:tc>
        <w:tc>
          <w:tcPr>
            <w:tcW w:type="dxa" w:w="3120"/>
          </w:tcPr>
          <w:p>
            <w:r>
              <w:rPr>
                <w:rFonts w:ascii="EB Garamond" w:hAnsi="EB Garamond" w:cs="EB Garamond"/>
                <w:b/>
                <w:i w:val="0"/>
                <w:color w:val="26282E"/>
                <w:sz w:val="19"/>
              </w:rPr>
              <w:t>Accurate</w:t>
            </w:r>
          </w:p>
        </w:tc>
      </w:tr>
      <w:tr>
        <w:tc>
          <w:tcPr>
            <w:tcW w:type="dxa" w:w="3120"/>
          </w:tcPr>
          <w:p>
            <w:r>
              <w:rPr>
                <w:rFonts w:ascii="EB Garamond" w:hAnsi="EB Garamond" w:cs="EB Garamond"/>
                <w:b w:val="0"/>
                <w:i w:val="0"/>
                <w:color w:val="26282E"/>
                <w:sz w:val="19"/>
              </w:rPr>
              <w:t>189–329</w:t>
            </w:r>
          </w:p>
        </w:tc>
        <w:tc>
          <w:tcPr>
            <w:tcW w:type="dxa" w:w="3120"/>
          </w:tcPr>
          <w:p>
            <w:r>
              <w:rPr>
                <w:rFonts w:ascii="EB Garamond" w:hAnsi="EB Garamond" w:cs="EB Garamond"/>
                <w:b/>
                <w:i w:val="0"/>
                <w:color w:val="26282E"/>
                <w:sz w:val="19"/>
              </w:rPr>
              <w:t>Fiat money</w:t>
            </w:r>
            <w:r>
              <w:rPr>
                <w:rFonts w:ascii="EB Garamond" w:hAnsi="EB Garamond" w:cs="EB Garamond"/>
                <w:b w:val="0"/>
                <w:i w:val="0"/>
                <w:color w:val="26282E"/>
                <w:sz w:val="19"/>
              </w:rPr>
              <w:t xml:space="preserve"> (≈40% of the doc): China/jiaozi, New France playing-card money, Bretton Woods, Nixon shock, money creation, inflation debates</w:t>
            </w:r>
          </w:p>
        </w:tc>
        <w:tc>
          <w:tcPr>
            <w:tcW w:type="dxa" w:w="3120"/>
          </w:tcPr>
          <w:p>
            <w:r>
              <w:rPr>
                <w:rFonts w:ascii="EB Garamond" w:hAnsi="EB Garamond" w:cs="EB Garamond"/>
                <w:b w:val="0"/>
                <w:i w:val="0"/>
                <w:color w:val="26282E"/>
                <w:sz w:val="19"/>
              </w:rPr>
              <w:t xml:space="preserve">Accurate reference material but </w:t>
            </w:r>
            <w:r>
              <w:rPr>
                <w:rFonts w:ascii="EB Garamond" w:hAnsi="EB Garamond" w:cs="EB Garamond"/>
                <w:b/>
                <w:i w:val="0"/>
                <w:color w:val="26282E"/>
                <w:sz w:val="19"/>
              </w:rPr>
              <w:t>entirely off-topic</w:t>
            </w:r>
            <w:r>
              <w:rPr>
                <w:rFonts w:ascii="EB Garamond" w:hAnsi="EB Garamond" w:cs="EB Garamond"/>
                <w:b w:val="0"/>
                <w:i w:val="0"/>
                <w:color w:val="26282E"/>
                <w:sz w:val="19"/>
              </w:rPr>
              <w:t>; included to frame currency/tax grievances</w:t>
            </w:r>
          </w:p>
        </w:tc>
      </w:tr>
      <w:tr>
        <w:tc>
          <w:tcPr>
            <w:tcW w:type="dxa" w:w="3120"/>
          </w:tcPr>
          <w:p>
            <w:r>
              <w:rPr>
                <w:rFonts w:ascii="EB Garamond" w:hAnsi="EB Garamond" w:cs="EB Garamond"/>
                <w:b w:val="0"/>
                <w:i w:val="0"/>
                <w:color w:val="26282E"/>
                <w:sz w:val="19"/>
              </w:rPr>
              <w:t>331–357</w:t>
            </w:r>
          </w:p>
        </w:tc>
        <w:tc>
          <w:tcPr>
            <w:tcW w:type="dxa" w:w="3120"/>
          </w:tcPr>
          <w:p>
            <w:r>
              <w:rPr>
                <w:rFonts w:ascii="EB Garamond" w:hAnsi="EB Garamond" w:cs="EB Garamond"/>
                <w:b w:val="0"/>
                <w:i w:val="0"/>
                <w:color w:val="26282E"/>
                <w:sz w:val="19"/>
              </w:rPr>
              <w:t>"See also" list (Preemption Act of 1841, easement, lien, etc.)</w:t>
            </w:r>
          </w:p>
        </w:tc>
        <w:tc>
          <w:tcPr>
            <w:tcW w:type="dxa" w:w="3120"/>
          </w:tcPr>
          <w:p>
            <w:r>
              <w:rPr>
                <w:rFonts w:ascii="EB Garamond" w:hAnsi="EB Garamond" w:cs="EB Garamond"/>
                <w:b w:val="0"/>
                <w:i w:val="0"/>
                <w:color w:val="26282E"/>
                <w:sz w:val="19"/>
              </w:rPr>
              <w:t>Navigation stub</w:t>
            </w:r>
          </w:p>
        </w:tc>
      </w:tr>
      <w:tr>
        <w:tc>
          <w:tcPr>
            <w:tcW w:type="dxa" w:w="3120"/>
          </w:tcPr>
          <w:p>
            <w:r>
              <w:rPr>
                <w:rFonts w:ascii="EB Garamond" w:hAnsi="EB Garamond" w:cs="EB Garamond"/>
                <w:b w:val="0"/>
                <w:i w:val="0"/>
                <w:color w:val="26282E"/>
                <w:sz w:val="19"/>
              </w:rPr>
              <w:t>359–513</w:t>
            </w:r>
          </w:p>
        </w:tc>
        <w:tc>
          <w:tcPr>
            <w:tcW w:type="dxa" w:w="3120"/>
          </w:tcPr>
          <w:p>
            <w:r>
              <w:rPr>
                <w:rFonts w:ascii="EB Garamond" w:hAnsi="EB Garamond" w:cs="EB Garamond"/>
                <w:b w:val="0"/>
                <w:i w:val="0"/>
                <w:color w:val="26282E"/>
                <w:sz w:val="19"/>
              </w:rPr>
              <w:t xml:space="preserve">Philippine acquisitive/extinctive prescription (Arts. 1106–1155); Roman </w:t>
            </w:r>
            <w:r>
              <w:rPr>
                <w:rFonts w:ascii="EB Garamond" w:hAnsi="EB Garamond" w:cs="EB Garamond"/>
                <w:b w:val="0"/>
                <w:i/>
                <w:color w:val="26282E"/>
                <w:sz w:val="19"/>
              </w:rPr>
              <w:t>usucapio</w:t>
            </w:r>
            <w:r>
              <w:rPr>
                <w:rFonts w:ascii="EB Garamond" w:hAnsi="EB Garamond" w:cs="EB Garamond"/>
                <w:b w:val="0"/>
                <w:i w:val="0"/>
                <w:color w:val="26282E"/>
                <w:sz w:val="19"/>
              </w:rPr>
              <w:t xml:space="preserve"> mechanics; </w:t>
            </w:r>
            <w:r>
              <w:rPr>
                <w:rFonts w:ascii="EB Garamond" w:hAnsi="EB Garamond" w:cs="EB Garamond"/>
                <w:b/>
                <w:i w:val="0"/>
                <w:color w:val="26282E"/>
                <w:sz w:val="19"/>
              </w:rPr>
              <w:t>Rabbinic-law usucaption (Bava Bathra 3:1)</w:t>
            </w:r>
            <w:r>
              <w:rPr>
                <w:rFonts w:ascii="EB Garamond" w:hAnsi="EB Garamond" w:cs="EB Garamond"/>
                <w:b w:val="0"/>
                <w:i w:val="0"/>
                <w:color w:val="26282E"/>
                <w:sz w:val="19"/>
              </w:rPr>
              <w:t xml:space="preserve"> incl. Ottoman-era </w:t>
            </w:r>
            <w:r>
              <w:rPr>
                <w:rFonts w:ascii="EB Garamond" w:hAnsi="EB Garamond" w:cs="EB Garamond"/>
                <w:b w:val="0"/>
                <w:i/>
                <w:color w:val="26282E"/>
                <w:sz w:val="19"/>
              </w:rPr>
              <w:t>mülk/kharaj</w:t>
            </w:r>
            <w:r>
              <w:rPr>
                <w:rFonts w:ascii="EB Garamond" w:hAnsi="EB Garamond" w:cs="EB Garamond"/>
                <w:b w:val="0"/>
                <w:i w:val="0"/>
                <w:color w:val="26282E"/>
                <w:sz w:val="19"/>
              </w:rPr>
              <w:t xml:space="preserve"> custom</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as comparative-law material; again off-topic to NY</w:t>
            </w:r>
          </w:p>
        </w:tc>
      </w:tr>
    </w:tbl>
    <w:p>
      <w:pPr>
        <w:jc w:val="both"/>
      </w:pPr>
      <w:r>
        <w:rPr>
          <w:rFonts w:ascii="EB Garamond" w:hAnsi="EB Garamond" w:cs="EB Garamond"/>
          <w:b/>
          <w:i w:val="0"/>
          <w:color w:val="26282E"/>
          <w:sz w:val="21"/>
        </w:rPr>
        <w:t>Where it veers:</w:t>
      </w:r>
      <w:r>
        <w:rPr>
          <w:rFonts w:ascii="EB Garamond" w:hAnsi="EB Garamond" w:cs="EB Garamond"/>
          <w:b w:val="0"/>
          <w:i w:val="0"/>
          <w:color w:val="26282E"/>
          <w:sz w:val="21"/>
        </w:rPr>
        <w:t xml:space="preserve"> subtly. This doc contains no explicit pseudo-legal demand — its role is to normalize the vocabulary ("possession is nine-tenths of the law," l.359; government-land immunity; "squatter's rights") that the other documents in the workspace (e.g., </w:t>
      </w:r>
      <w:r>
        <w:rPr>
          <w:rFonts w:ascii="EB Garamond" w:hAnsi="EB Garamond" w:cs="EB Garamond"/>
          <w:b w:val="0"/>
          <w:i/>
          <w:color w:val="26282E"/>
          <w:sz w:val="21"/>
        </w:rPr>
        <w:t>NOTICE OF RESTORATION OF LENAPEHOKING</w:t>
      </w:r>
      <w:r>
        <w:rPr>
          <w:rFonts w:ascii="EB Garamond" w:hAnsi="EB Garamond" w:cs="EB Garamond"/>
          <w:b w:val="0"/>
          <w:i w:val="0"/>
          <w:color w:val="26282E"/>
          <w:sz w:val="21"/>
        </w:rPr>
        <w:t>) leverage for land-reclamation claims. The nearest thing to an asserted claim is the worked example that 15 years + 20 years = 35 years to title (l.161) — arithmetically fine, legally misleading in NY (see §3.2), and the fiat-money excursus's framing ("the United States is bankrupt"-adjacent themes live in the DISCLAIMER doc, not here).</w:t>
      </w:r>
    </w:p>
    <w:p>
      <w:pPr>
        <w:keepNext/>
      </w:pPr>
      <w:r>
        <w:rPr>
          <w:rFonts w:ascii="EB Garamond" w:hAnsi="EB Garamond" w:cs="EB Garamond"/>
          <w:b/>
          <w:i w:val="0"/>
          <w:color w:val="B54E1F"/>
          <w:sz w:val="23"/>
        </w:rPr>
        <w:t xml:space="preserve">1.2 </w:t>
      </w:r>
      <w:r>
        <w:rPr>
          <w:rFonts w:ascii="Montserrat" w:hAnsi="Montserrat" w:cs="Montserrat"/>
          <w:b w:val="0"/>
          <w:i w:val="0"/>
          <w:color w:val="3A4356"/>
          <w:sz w:val="18"/>
        </w:rPr>
        <w:t>DISCLAIMER - Seditious Conspiracy &amp; Treason via L3C formation.md</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Content</w:t>
            </w:r>
          </w:p>
        </w:tc>
        <w:tc>
          <w:tcPr>
            <w:tcW w:type="dxa" w:w="3120"/>
            <w:shd w:val="clear" w:fill="EFEBE0"/>
          </w:tcPr>
          <w:p>
            <w:r>
              <w:rPr>
                <w:rFonts w:ascii="Montserrat" w:hAnsi="Montserrat" w:cs="Montserrat"/>
                <w:b/>
                <w:i w:val="0"/>
                <w:color w:val="1B2A41"/>
                <w:sz w:val="19"/>
              </w:rPr>
              <w:t>Verdict</w:t>
            </w:r>
          </w:p>
        </w:tc>
      </w:tr>
      <w:tr>
        <w:tc>
          <w:tcPr>
            <w:tcW w:type="dxa" w:w="3120"/>
          </w:tcPr>
          <w:p>
            <w:r>
              <w:rPr>
                <w:rFonts w:ascii="EB Garamond" w:hAnsi="EB Garamond" w:cs="EB Garamond"/>
                <w:b w:val="0"/>
                <w:i w:val="0"/>
                <w:color w:val="26282E"/>
                <w:sz w:val="19"/>
              </w:rPr>
              <w:t>1–7</w:t>
            </w:r>
          </w:p>
        </w:tc>
        <w:tc>
          <w:tcPr>
            <w:tcW w:type="dxa" w:w="3120"/>
          </w:tcPr>
          <w:p>
            <w:r>
              <w:rPr>
                <w:rFonts w:ascii="EB Garamond" w:hAnsi="EB Garamond" w:cs="EB Garamond"/>
                <w:b w:val="0"/>
                <w:i w:val="0"/>
                <w:color w:val="26282E"/>
                <w:sz w:val="19"/>
              </w:rPr>
              <w:t>Title; headline framing of 18 U.S.C. § 2384 and Art. III § 3</w:t>
            </w:r>
          </w:p>
        </w:tc>
        <w:tc>
          <w:tcPr>
            <w:tcW w:type="dxa" w:w="3120"/>
          </w:tcPr>
          <w:p>
            <w:r>
              <w:rPr>
                <w:rFonts w:ascii="EB Garamond" w:hAnsi="EB Garamond" w:cs="EB Garamond"/>
                <w:b w:val="0"/>
                <w:i w:val="0"/>
                <w:color w:val="26282E"/>
                <w:sz w:val="19"/>
              </w:rPr>
              <w:t xml:space="preserve">Headline </w:t>
            </w:r>
            <w:r>
              <w:rPr>
                <w:rFonts w:ascii="EB Garamond" w:hAnsi="EB Garamond" w:cs="EB Garamond"/>
                <w:b/>
                <w:i w:val="0"/>
                <w:color w:val="26282E"/>
                <w:sz w:val="19"/>
              </w:rPr>
              <w:t>accurate on both statutes</w:t>
            </w:r>
            <w:r>
              <w:rPr>
                <w:rFonts w:ascii="EB Garamond" w:hAnsi="EB Garamond" w:cs="EB Garamond"/>
                <w:b w:val="0"/>
                <w:i w:val="0"/>
                <w:color w:val="26282E"/>
                <w:sz w:val="19"/>
              </w:rPr>
              <w:t xml:space="preserve"> (the one genuinely solid legal passage — see §4); framing is a warning-as-ambition: the doc advertises the crimes its own movement risks</w:t>
            </w:r>
          </w:p>
        </w:tc>
      </w:tr>
      <w:tr>
        <w:tc>
          <w:tcPr>
            <w:tcW w:type="dxa" w:w="3120"/>
          </w:tcPr>
          <w:p>
            <w:r>
              <w:rPr>
                <w:rFonts w:ascii="EB Garamond" w:hAnsi="EB Garamond" w:cs="EB Garamond"/>
                <w:b w:val="0"/>
                <w:i w:val="0"/>
                <w:color w:val="26282E"/>
                <w:sz w:val="19"/>
              </w:rPr>
              <w:t>9</w:t>
            </w:r>
          </w:p>
        </w:tc>
        <w:tc>
          <w:tcPr>
            <w:tcW w:type="dxa" w:w="3120"/>
          </w:tcPr>
          <w:p>
            <w:r>
              <w:rPr>
                <w:rFonts w:ascii="EB Garamond" w:hAnsi="EB Garamond" w:cs="EB Garamond"/>
                <w:b w:val="0"/>
                <w:i w:val="0"/>
                <w:color w:val="26282E"/>
                <w:sz w:val="19"/>
              </w:rPr>
              <w:t>"The U.S. Secretary of State is the 'Archivist' of legal titles of 'The People', i.e., the 'Beneficiaries' of the Estate Trust … domiciled in Washington, D.C."</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Classic sovereign-citizen mythology (FBI-listed indicators; §1.4). The actual Archivist of the United States heads NARA (44 U.S.C. § 2102); the Secretary of State has no custodial role over "titles of The People," and no "Estate Trust" exists in law</w:t>
            </w:r>
          </w:p>
        </w:tc>
      </w:tr>
      <w:tr>
        <w:tc>
          <w:tcPr>
            <w:tcW w:type="dxa" w:w="3120"/>
          </w:tcPr>
          <w:p>
            <w:r>
              <w:rPr>
                <w:rFonts w:ascii="EB Garamond" w:hAnsi="EB Garamond" w:cs="EB Garamond"/>
                <w:b w:val="0"/>
                <w:i w:val="0"/>
                <w:color w:val="26282E"/>
                <w:sz w:val="19"/>
              </w:rPr>
              <w:t>13</w:t>
            </w:r>
          </w:p>
        </w:tc>
        <w:tc>
          <w:tcPr>
            <w:tcW w:type="dxa" w:w="3120"/>
          </w:tcPr>
          <w:p>
            <w:r>
              <w:rPr>
                <w:rFonts w:ascii="EB Garamond" w:hAnsi="EB Garamond" w:cs="EB Garamond"/>
                <w:b w:val="0"/>
                <w:i w:val="0"/>
                <w:color w:val="26282E"/>
                <w:sz w:val="19"/>
              </w:rPr>
              <w:t xml:space="preserve">"I: Philomen-Anabelle: McFee© … am a </w:t>
            </w:r>
            <w:r>
              <w:rPr>
                <w:rFonts w:ascii="EB Garamond" w:hAnsi="EB Garamond" w:cs="EB Garamond"/>
                <w:b/>
                <w:i w:val="0"/>
                <w:color w:val="26282E"/>
                <w:sz w:val="19"/>
              </w:rPr>
              <w:t>Foreign Sovereign</w:t>
            </w:r>
            <w:r>
              <w:rPr>
                <w:rFonts w:ascii="EB Garamond" w:hAnsi="EB Garamond" w:cs="EB Garamond"/>
                <w:b w:val="0"/>
                <w:i w:val="0"/>
                <w:color w:val="26282E"/>
                <w:sz w:val="19"/>
              </w:rPr>
              <w:t xml:space="preserve"> operating within the Territorial United States … owed </w:t>
            </w:r>
            <w:r>
              <w:rPr>
                <w:rFonts w:ascii="EB Garamond" w:hAnsi="EB Garamond" w:cs="EB Garamond"/>
                <w:b/>
                <w:i w:val="0"/>
                <w:color w:val="26282E"/>
                <w:sz w:val="19"/>
              </w:rPr>
              <w:t>The Law of Peace, pursuant to Department of the Army Pamphlet 27-161-1</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This is the sovCit "Mandatory Notice" template, nearly verbatim (§1.4). DA Pam 27-161-1 is a real DoD treatise — </w:t>
            </w:r>
            <w:r>
              <w:rPr>
                <w:rFonts w:ascii="EB Garamond" w:hAnsi="EB Garamond" w:cs="EB Garamond"/>
                <w:b w:val="0"/>
                <w:i/>
                <w:color w:val="26282E"/>
                <w:sz w:val="19"/>
              </w:rPr>
              <w:t>International Law, Vol. I: The Law of Peace</w:t>
            </w:r>
            <w:r>
              <w:rPr>
                <w:rFonts w:ascii="EB Garamond" w:hAnsi="EB Garamond" w:cs="EB Garamond"/>
                <w:b w:val="0"/>
                <w:i w:val="0"/>
                <w:color w:val="26282E"/>
                <w:sz w:val="19"/>
              </w:rPr>
              <w:t xml:space="preserve"> (1979) — governing the </w:t>
            </w:r>
            <w:r>
              <w:rPr>
                <w:rFonts w:ascii="EB Garamond" w:hAnsi="EB Garamond" w:cs="EB Garamond"/>
                <w:b/>
                <w:i w:val="0"/>
                <w:color w:val="26282E"/>
                <w:sz w:val="19"/>
              </w:rPr>
              <w:t>U.S. military's conduct in foreign affairs/occupied territory</w:t>
            </w:r>
            <w:r>
              <w:rPr>
                <w:rFonts w:ascii="EB Garamond" w:hAnsi="EB Garamond" w:cs="EB Garamond"/>
                <w:b w:val="0"/>
                <w:i w:val="0"/>
                <w:color w:val="26282E"/>
                <w:sz w:val="19"/>
              </w:rPr>
              <w:t>. It confers no personal immunities on civilians and has never been so held in any court</w:t>
            </w:r>
          </w:p>
        </w:tc>
      </w:tr>
      <w:tr>
        <w:tc>
          <w:tcPr>
            <w:tcW w:type="dxa" w:w="3120"/>
          </w:tcPr>
          <w:p>
            <w:r>
              <w:rPr>
                <w:rFonts w:ascii="EB Garamond" w:hAnsi="EB Garamond" w:cs="EB Garamond"/>
                <w:b w:val="0"/>
                <w:i w:val="0"/>
                <w:color w:val="26282E"/>
                <w:sz w:val="19"/>
              </w:rPr>
              <w:t>15</w:t>
            </w:r>
          </w:p>
        </w:tc>
        <w:tc>
          <w:tcPr>
            <w:tcW w:type="dxa" w:w="3120"/>
          </w:tcPr>
          <w:p>
            <w:r>
              <w:rPr>
                <w:rFonts w:ascii="EB Garamond" w:hAnsi="EB Garamond" w:cs="EB Garamond"/>
                <w:b w:val="0"/>
                <w:i w:val="0"/>
                <w:color w:val="26282E"/>
                <w:sz w:val="19"/>
              </w:rPr>
              <w:t>Demand for refund of "malappropriated SALT taxes"; commercial liability under 18 U.S.C. §§ 2333, 1341, 1342</w:t>
            </w:r>
          </w:p>
        </w:tc>
        <w:tc>
          <w:tcPr>
            <w:tcW w:type="dxa" w:w="3120"/>
          </w:tcPr>
          <w:p>
            <w:r>
              <w:rPr>
                <w:rFonts w:ascii="EB Garamond" w:hAnsi="EB Garamond" w:cs="EB Garamond"/>
                <w:b w:val="0"/>
                <w:i w:val="0"/>
                <w:color w:val="26282E"/>
                <w:sz w:val="19"/>
              </w:rPr>
              <w:t xml:space="preserve">§ 2333 is the </w:t>
            </w:r>
            <w:r>
              <w:rPr>
                <w:rFonts w:ascii="EB Garamond" w:hAnsi="EB Garamond" w:cs="EB Garamond"/>
                <w:b/>
                <w:i w:val="0"/>
                <w:color w:val="26282E"/>
                <w:sz w:val="19"/>
              </w:rPr>
              <w:t>civil remedy for victims of international terrorism</w:t>
            </w:r>
            <w:r>
              <w:rPr>
                <w:rFonts w:ascii="EB Garamond" w:hAnsi="EB Garamond" w:cs="EB Garamond"/>
                <w:b w:val="0"/>
                <w:i w:val="0"/>
                <w:color w:val="26282E"/>
                <w:sz w:val="19"/>
              </w:rPr>
              <w:t>; § 1341/1342 concern postal fraud/obstruction — none creates a tax-refund cause of action. SovCit boilerplate (same trio appears in the von Reitz "mandatory notice" templates circulating online)</w:t>
            </w:r>
          </w:p>
        </w:tc>
      </w:tr>
      <w:tr>
        <w:tc>
          <w:tcPr>
            <w:tcW w:type="dxa" w:w="3120"/>
          </w:tcPr>
          <w:p>
            <w:r>
              <w:rPr>
                <w:rFonts w:ascii="EB Garamond" w:hAnsi="EB Garamond" w:cs="EB Garamond"/>
                <w:b w:val="0"/>
                <w:i w:val="0"/>
                <w:color w:val="26282E"/>
                <w:sz w:val="19"/>
              </w:rPr>
              <w:t>17, 109, 113–117</w:t>
            </w:r>
          </w:p>
        </w:tc>
        <w:tc>
          <w:tcPr>
            <w:tcW w:type="dxa" w:w="3120"/>
          </w:tcPr>
          <w:p>
            <w:r>
              <w:rPr>
                <w:rFonts w:ascii="EB Garamond" w:hAnsi="EB Garamond" w:cs="EB Garamond"/>
                <w:b w:val="0"/>
                <w:i w:val="0"/>
                <w:color w:val="26282E"/>
                <w:sz w:val="19"/>
              </w:rPr>
              <w:t>"Political status … procedurally corrected"; notices deposited with USPS "in its capacity as universal receiver"; "in rem admiralty proceedings … out of New York Harbor's Port Authority"; "UN regional member state courts"; 28 U.S.C. § 1442(d)(3)</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The admiralty/UN-court theory is a sovereign-citizen staple. § 1442 is the federal-officer </w:t>
            </w:r>
            <w:r>
              <w:rPr>
                <w:rFonts w:ascii="EB Garamond" w:hAnsi="EB Garamond" w:cs="EB Garamond"/>
                <w:b/>
                <w:i w:val="0"/>
                <w:color w:val="26282E"/>
                <w:sz w:val="19"/>
              </w:rPr>
              <w:t>removal</w:t>
            </w:r>
            <w:r>
              <w:rPr>
                <w:rFonts w:ascii="EB Garamond" w:hAnsi="EB Garamond" w:cs="EB Garamond"/>
                <w:b w:val="0"/>
                <w:i w:val="0"/>
                <w:color w:val="26282E"/>
                <w:sz w:val="19"/>
              </w:rPr>
              <w:t xml:space="preserve"> statute; subsection (d)(3) merely defines "law enforcement officer" for removal purposes and confers no substantive rights or immunities</w:t>
            </w:r>
          </w:p>
        </w:tc>
      </w:tr>
      <w:tr>
        <w:tc>
          <w:tcPr>
            <w:tcW w:type="dxa" w:w="3120"/>
          </w:tcPr>
          <w:p>
            <w:r>
              <w:rPr>
                <w:rFonts w:ascii="EB Garamond" w:hAnsi="EB Garamond" w:cs="EB Garamond"/>
                <w:b w:val="0"/>
                <w:i w:val="0"/>
                <w:color w:val="26282E"/>
                <w:sz w:val="19"/>
              </w:rPr>
              <w:t>19–107</w:t>
            </w:r>
          </w:p>
        </w:tc>
        <w:tc>
          <w:tcPr>
            <w:tcW w:type="dxa" w:w="3120"/>
          </w:tcPr>
          <w:p>
            <w:r>
              <w:rPr>
                <w:rFonts w:ascii="EB Garamond" w:hAnsi="EB Garamond" w:cs="EB Garamond"/>
                <w:b w:val="0"/>
                <w:i w:val="0"/>
                <w:color w:val="26282E"/>
                <w:sz w:val="19"/>
              </w:rPr>
              <w:t xml:space="preserve">NY public-benefit corporations / public authorities: NY Const. art. X § 5, </w:t>
            </w:r>
            <w:r>
              <w:rPr>
                <w:rFonts w:ascii="EB Garamond" w:hAnsi="EB Garamond" w:cs="EB Garamond"/>
                <w:b w:val="0"/>
                <w:i/>
                <w:color w:val="26282E"/>
                <w:sz w:val="19"/>
              </w:rPr>
              <w:t>City of Rye v. MTA</w:t>
            </w:r>
            <w:r>
              <w:rPr>
                <w:rFonts w:ascii="EB Garamond" w:hAnsi="EB Garamond" w:cs="EB Garamond"/>
                <w:b w:val="0"/>
                <w:i w:val="0"/>
                <w:color w:val="26282E"/>
                <w:sz w:val="19"/>
              </w:rPr>
              <w:t xml:space="preserve">, </w:t>
            </w:r>
            <w:r>
              <w:rPr>
                <w:rFonts w:ascii="EB Garamond" w:hAnsi="EB Garamond" w:cs="EB Garamond"/>
                <w:b w:val="0"/>
                <w:i/>
                <w:color w:val="26282E"/>
                <w:sz w:val="19"/>
              </w:rPr>
              <w:t>Schulz v. State</w:t>
            </w:r>
            <w:r>
              <w:rPr>
                <w:rFonts w:ascii="EB Garamond" w:hAnsi="EB Garamond" w:cs="EB Garamond"/>
                <w:b w:val="0"/>
                <w:i w:val="0"/>
                <w:color w:val="26282E"/>
                <w:sz w:val="19"/>
              </w:rPr>
              <w:t xml:space="preserve">, PACB, Robert Moses, ABO 2018 stats (47 state / 531 local authorities), eminent domain (Grotius, </w:t>
            </w:r>
            <w:r>
              <w:rPr>
                <w:rFonts w:ascii="EB Garamond" w:hAnsi="EB Garamond" w:cs="EB Garamond"/>
                <w:b w:val="0"/>
                <w:i/>
                <w:color w:val="26282E"/>
                <w:sz w:val="19"/>
              </w:rPr>
              <w:t>Berman</w:t>
            </w:r>
            <w:r>
              <w:rPr>
                <w:rFonts w:ascii="EB Garamond" w:hAnsi="EB Garamond" w:cs="EB Garamond"/>
                <w:b w:val="0"/>
                <w:i w:val="0"/>
                <w:color w:val="26282E"/>
                <w:sz w:val="19"/>
              </w:rPr>
              <w:t xml:space="preserve">, </w:t>
            </w:r>
            <w:r>
              <w:rPr>
                <w:rFonts w:ascii="EB Garamond" w:hAnsi="EB Garamond" w:cs="EB Garamond"/>
                <w:b w:val="0"/>
                <w:i/>
                <w:color w:val="26282E"/>
                <w:sz w:val="19"/>
              </w:rPr>
              <w:t>Midkiff</w:t>
            </w:r>
            <w:r>
              <w:rPr>
                <w:rFonts w:ascii="EB Garamond" w:hAnsi="EB Garamond" w:cs="EB Garamond"/>
                <w:b w:val="0"/>
                <w:i w:val="0"/>
                <w:color w:val="26282E"/>
                <w:sz w:val="19"/>
              </w:rPr>
              <w:t xml:space="preserve">, </w:t>
            </w:r>
            <w:r>
              <w:rPr>
                <w:rFonts w:ascii="EB Garamond" w:hAnsi="EB Garamond" w:cs="EB Garamond"/>
                <w:b w:val="0"/>
                <w:i/>
                <w:color w:val="26282E"/>
                <w:sz w:val="19"/>
              </w:rPr>
              <w:t>Kelo</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reference material (the best-researched section) — deployed here to build the "I have no contractual obligations to any NY public-benefit corporation" claim (l.21), which is legally meaningless: statutes bind regardless of personal consent</w:t>
            </w:r>
          </w:p>
        </w:tc>
      </w:tr>
      <w:tr>
        <w:tc>
          <w:tcPr>
            <w:tcW w:type="dxa" w:w="3120"/>
          </w:tcPr>
          <w:p>
            <w:r>
              <w:rPr>
                <w:rFonts w:ascii="EB Garamond" w:hAnsi="EB Garamond" w:cs="EB Garamond"/>
                <w:b w:val="0"/>
                <w:i w:val="0"/>
                <w:color w:val="26282E"/>
                <w:sz w:val="19"/>
              </w:rPr>
              <w:t>49</w:t>
            </w:r>
          </w:p>
        </w:tc>
        <w:tc>
          <w:tcPr>
            <w:tcW w:type="dxa" w:w="3120"/>
          </w:tcPr>
          <w:p>
            <w:r>
              <w:rPr>
                <w:rFonts w:ascii="EB Garamond" w:hAnsi="EB Garamond" w:cs="EB Garamond"/>
                <w:b w:val="0"/>
                <w:i w:val="0"/>
                <w:color w:val="26282E"/>
                <w:sz w:val="19"/>
              </w:rPr>
              <w:t xml:space="preserve">"…sue the United States … which will never provide remedy because </w:t>
            </w:r>
            <w:r>
              <w:rPr>
                <w:rFonts w:ascii="EB Garamond" w:hAnsi="EB Garamond" w:cs="EB Garamond"/>
                <w:b/>
                <w:i w:val="0"/>
                <w:color w:val="26282E"/>
                <w:sz w:val="19"/>
              </w:rPr>
              <w:t>the United States is bankrupt</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gold-standard sovCit shibboleth; the U.S. pays Court of Federal Claims just-compensation judgments routinely (Tucker Act, 28 U.S.C. § 1491)</w:t>
            </w:r>
          </w:p>
        </w:tc>
      </w:tr>
      <w:tr>
        <w:tc>
          <w:tcPr>
            <w:tcW w:type="dxa" w:w="3120"/>
          </w:tcPr>
          <w:p>
            <w:r>
              <w:rPr>
                <w:rFonts w:ascii="EB Garamond" w:hAnsi="EB Garamond" w:cs="EB Garamond"/>
                <w:b w:val="0"/>
                <w:i w:val="0"/>
                <w:color w:val="26282E"/>
                <w:sz w:val="19"/>
              </w:rPr>
              <w:t>51</w:t>
            </w:r>
          </w:p>
        </w:tc>
        <w:tc>
          <w:tcPr>
            <w:tcW w:type="dxa" w:w="3120"/>
          </w:tcPr>
          <w:p>
            <w:r>
              <w:rPr>
                <w:rFonts w:ascii="EB Garamond" w:hAnsi="EB Garamond" w:cs="EB Garamond"/>
                <w:b w:val="0"/>
                <w:i w:val="0"/>
                <w:color w:val="26282E"/>
                <w:sz w:val="19"/>
              </w:rPr>
              <w:t>"In the United States, a 'person' is defined as a 'foreign state' … an 'individual' is defined as an artificial 'federally chartered entity'"</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inversion of the ordinary meanings; in federal statutes "person" </w:t>
            </w:r>
            <w:r>
              <w:rPr>
                <w:rFonts w:ascii="EB Garamond" w:hAnsi="EB Garamond" w:cs="EB Garamond"/>
                <w:b w:val="0"/>
                <w:i/>
                <w:color w:val="26282E"/>
                <w:sz w:val="19"/>
              </w:rPr>
              <w:t>includes</w:t>
            </w:r>
            <w:r>
              <w:rPr>
                <w:rFonts w:ascii="EB Garamond" w:hAnsi="EB Garamond" w:cs="EB Garamond"/>
                <w:b w:val="0"/>
                <w:i w:val="0"/>
                <w:color w:val="26282E"/>
                <w:sz w:val="19"/>
              </w:rPr>
              <w:t xml:space="preserve"> individuals (e.g., 1 U.S.C. § 1), and this specific definition pair appears in no statute</w:t>
            </w:r>
          </w:p>
        </w:tc>
      </w:tr>
      <w:tr>
        <w:tc>
          <w:tcPr>
            <w:tcW w:type="dxa" w:w="3120"/>
          </w:tcPr>
          <w:p>
            <w:r>
              <w:rPr>
                <w:rFonts w:ascii="EB Garamond" w:hAnsi="EB Garamond" w:cs="EB Garamond"/>
                <w:b w:val="0"/>
                <w:i w:val="0"/>
                <w:color w:val="26282E"/>
                <w:sz w:val="19"/>
              </w:rPr>
              <w:t>59–61</w:t>
            </w:r>
          </w:p>
        </w:tc>
        <w:tc>
          <w:tcPr>
            <w:tcW w:type="dxa" w:w="3120"/>
          </w:tcPr>
          <w:p>
            <w:r>
              <w:rPr>
                <w:rFonts w:ascii="EB Garamond" w:hAnsi="EB Garamond" w:cs="EB Garamond"/>
                <w:b w:val="0"/>
                <w:i w:val="0"/>
                <w:color w:val="26282E"/>
                <w:sz w:val="19"/>
              </w:rPr>
              <w:t>IRS and national banks "do not have regulatory authority to file liens in the several U.S. States"; IRS non-compliance = "counterfeiting securities"; state law governs prosecution</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tax-protester boilerplate; 26 U.S.C. §§ 6321, 6323 create federal tax liens that are properly filed state-side and enforceable</w:t>
            </w:r>
          </w:p>
        </w:tc>
      </w:tr>
      <w:tr>
        <w:tc>
          <w:tcPr>
            <w:tcW w:type="dxa" w:w="3120"/>
          </w:tcPr>
          <w:p>
            <w:r>
              <w:rPr>
                <w:rFonts w:ascii="EB Garamond" w:hAnsi="EB Garamond" w:cs="EB Garamond"/>
                <w:b w:val="0"/>
                <w:i w:val="0"/>
                <w:color w:val="26282E"/>
                <w:sz w:val="19"/>
              </w:rPr>
              <w:t>107–151</w:t>
            </w:r>
          </w:p>
        </w:tc>
        <w:tc>
          <w:tcPr>
            <w:tcW w:type="dxa" w:w="3120"/>
          </w:tcPr>
          <w:p>
            <w:r>
              <w:rPr>
                <w:rFonts w:ascii="EB Garamond" w:hAnsi="EB Garamond" w:cs="EB Garamond"/>
                <w:b w:val="0"/>
                <w:i w:val="0"/>
                <w:color w:val="26282E"/>
                <w:sz w:val="19"/>
              </w:rPr>
              <w:t xml:space="preserve">"INNER-standing the … dual justice system"; </w:t>
            </w:r>
            <w:r>
              <w:rPr>
                <w:rFonts w:ascii="EB Garamond" w:hAnsi="EB Garamond" w:cs="EB Garamond"/>
                <w:b w:val="0"/>
                <w:i/>
                <w:color w:val="26282E"/>
                <w:sz w:val="19"/>
              </w:rPr>
              <w:t>Yates v. Village of Hoffman Estates</w:t>
            </w:r>
            <w:r>
              <w:rPr>
                <w:rFonts w:ascii="EB Garamond" w:hAnsi="EB Garamond" w:cs="EB Garamond"/>
                <w:b w:val="0"/>
                <w:i w:val="0"/>
                <w:color w:val="26282E"/>
                <w:sz w:val="19"/>
              </w:rPr>
              <w:t xml:space="preserve"> as "judge loses jurisdiction" authority; Fed. Res. Act § 16 / 12 U.S.C. § 411 "elastic currency"; "waiver of immunity" string-cite (</w:t>
            </w:r>
            <w:r>
              <w:rPr>
                <w:rFonts w:ascii="EB Garamond" w:hAnsi="EB Garamond" w:cs="EB Garamond"/>
                <w:b w:val="0"/>
                <w:i/>
                <w:color w:val="26282E"/>
                <w:sz w:val="19"/>
              </w:rPr>
              <w:t>Luckenbach v. The Thekla</w:t>
            </w:r>
            <w:r>
              <w:rPr>
                <w:rFonts w:ascii="EB Garamond" w:hAnsi="EB Garamond" w:cs="EB Garamond"/>
                <w:b w:val="0"/>
                <w:i w:val="0"/>
                <w:color w:val="26282E"/>
                <w:sz w:val="19"/>
              </w:rPr>
              <w:t xml:space="preserve"> etc.); "Tax-Exempt No. C40468385"; "repatriated W-2 WARRANT OFFICER, deported U.S. Citizen"; ©-name punctuation</w:t>
            </w:r>
          </w:p>
        </w:tc>
        <w:tc>
          <w:tcPr>
            <w:tcW w:type="dxa" w:w="3120"/>
          </w:tcPr>
          <w:p>
            <w:r>
              <w:rPr>
                <w:rFonts w:ascii="EB Garamond" w:hAnsi="EB Garamond" w:cs="EB Garamond"/>
                <w:b/>
                <w:i w:val="0"/>
                <w:color w:val="26282E"/>
                <w:sz w:val="19"/>
              </w:rPr>
              <w:t>Pseudo-law throughout.</w:t>
            </w:r>
            <w:r>
              <w:rPr>
                <w:rFonts w:ascii="EB Garamond" w:hAnsi="EB Garamond" w:cs="EB Garamond"/>
                <w:b w:val="0"/>
                <w:i w:val="0"/>
                <w:color w:val="26282E"/>
                <w:sz w:val="19"/>
              </w:rPr>
              <w:t xml:space="preserve"> </w:t>
            </w:r>
            <w:r>
              <w:rPr>
                <w:rFonts w:ascii="EB Garamond" w:hAnsi="EB Garamond" w:cs="EB Garamond"/>
                <w:b w:val="0"/>
                <w:i/>
                <w:color w:val="26282E"/>
                <w:sz w:val="19"/>
              </w:rPr>
              <w:t>Yates</w:t>
            </w:r>
            <w:r>
              <w:rPr>
                <w:rFonts w:ascii="EB Garamond" w:hAnsi="EB Garamond" w:cs="EB Garamond"/>
                <w:b w:val="0"/>
                <w:i w:val="0"/>
                <w:color w:val="26282E"/>
                <w:sz w:val="19"/>
              </w:rPr>
              <w:t xml:space="preserve"> held only that judicial immunity doesn't cover intentional torts outside judicial function — it does </w:t>
            </w:r>
            <w:r>
              <w:rPr>
                <w:rFonts w:ascii="EB Garamond" w:hAnsi="EB Garamond" w:cs="EB Garamond"/>
                <w:b/>
                <w:i w:val="0"/>
                <w:color w:val="26282E"/>
                <w:sz w:val="19"/>
              </w:rPr>
              <w:t>not</w:t>
            </w:r>
            <w:r>
              <w:rPr>
                <w:rFonts w:ascii="EB Garamond" w:hAnsi="EB Garamond" w:cs="EB Garamond"/>
                <w:b w:val="0"/>
                <w:i w:val="0"/>
                <w:color w:val="26282E"/>
                <w:sz w:val="19"/>
              </w:rPr>
              <w:t xml:space="preserve"> void orders for alleged legal error. The immunity string-cites are classic non-authority padding. The "tax-exempt organization" tradename for a natural person, the© stylized name, and the "W-2 warrant officer" persona are sovCit indicators (FBI: misuse of copyright-of-name, fictitious financial instruments)</w:t>
            </w:r>
          </w:p>
        </w:tc>
      </w:tr>
      <w:tr>
        <w:tc>
          <w:tcPr>
            <w:tcW w:type="dxa" w:w="3120"/>
          </w:tcPr>
          <w:p>
            <w:r>
              <w:rPr>
                <w:rFonts w:ascii="EB Garamond" w:hAnsi="EB Garamond" w:cs="EB Garamond"/>
                <w:b w:val="0"/>
                <w:i w:val="0"/>
                <w:color w:val="26282E"/>
                <w:sz w:val="19"/>
              </w:rPr>
              <w:t>149–287</w:t>
            </w:r>
          </w:p>
        </w:tc>
        <w:tc>
          <w:tcPr>
            <w:tcW w:type="dxa" w:w="3120"/>
          </w:tcPr>
          <w:p>
            <w:r>
              <w:rPr>
                <w:rFonts w:ascii="EB Garamond" w:hAnsi="EB Garamond" w:cs="EB Garamond"/>
                <w:b/>
                <w:i w:val="0"/>
                <w:color w:val="26282E"/>
                <w:sz w:val="19"/>
              </w:rPr>
              <w:t>HYBRID L3C explainer</w:t>
            </w:r>
            <w:r>
              <w:rPr>
                <w:rFonts w:ascii="EB Garamond" w:hAnsi="EB Garamond" w:cs="EB Garamond"/>
                <w:b w:val="0"/>
                <w:i w:val="0"/>
                <w:color w:val="26282E"/>
                <w:sz w:val="19"/>
              </w:rPr>
              <w:t>: definition, Robert Lang origin, PRI mechanics (Treas. Reg. § 53.4944-3(a)), formation, member-managed vs manager-managed, taxation, Vermont 2008 first statute, state list, NC repeal 2014, SEEDR L3C example, pros/cons tables</w:t>
            </w:r>
          </w:p>
        </w:tc>
        <w:tc>
          <w:tcPr>
            <w:tcW w:type="dxa" w:w="3120"/>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(a faithful Wikidata/Wikipedia-grade summary) — with two errors: the claim that Vermont's statute "allowed the L3C legal form to operate in </w:t>
            </w:r>
            <w:r>
              <w:rPr>
                <w:rFonts w:ascii="EB Garamond" w:hAnsi="EB Garamond" w:cs="EB Garamond"/>
                <w:b/>
                <w:i w:val="0"/>
                <w:color w:val="26282E"/>
                <w:sz w:val="19"/>
              </w:rPr>
              <w:t>every</w:t>
            </w:r>
            <w:r>
              <w:rPr>
                <w:rFonts w:ascii="EB Garamond" w:hAnsi="EB Garamond" w:cs="EB Garamond"/>
                <w:b w:val="0"/>
                <w:i w:val="0"/>
                <w:color w:val="26282E"/>
                <w:sz w:val="19"/>
              </w:rPr>
              <w:t xml:space="preserve"> U.S. state" (false; see §3.6) and "HYBRID L3C Defined: The </w:t>
            </w:r>
            <w:r>
              <w:rPr>
                <w:rFonts w:ascii="EB Garamond" w:hAnsi="EB Garamond" w:cs="EB Garamond"/>
                <w:b/>
                <w:i w:val="0"/>
                <w:color w:val="26282E"/>
                <w:sz w:val="19"/>
              </w:rPr>
              <w:t>default United States corporate structure</w:t>
            </w:r>
            <w:r>
              <w:rPr>
                <w:rFonts w:ascii="EB Garamond" w:hAnsi="EB Garamond" w:cs="EB Garamond"/>
                <w:b w:val="0"/>
                <w:i w:val="0"/>
                <w:color w:val="26282E"/>
                <w:sz w:val="19"/>
              </w:rPr>
              <w:t>" (l.151 — false; the default business structure is the ordinary LLC; only ~1,700 L3Cs existed nationwide by 2020, by the doc's own figures)</w:t>
            </w:r>
          </w:p>
        </w:tc>
      </w:tr>
    </w:tbl>
    <w:p>
      <w:pPr>
        <w:keepNext/>
      </w:pPr>
      <w:r>
        <w:rPr>
          <w:rFonts w:ascii="EB Garamond" w:hAnsi="EB Garamond" w:cs="EB Garamond"/>
          <w:b/>
          <w:i w:val="0"/>
          <w:color w:val="B54E1F"/>
          <w:sz w:val="23"/>
        </w:rPr>
        <w:t>1.3 The VERSION 1 variant (</w:t>
      </w:r>
      <w:r>
        <w:rPr>
          <w:rFonts w:ascii="Montserrat" w:hAnsi="Montserrat" w:cs="Montserrat"/>
          <w:b w:val="0"/>
          <w:i w:val="0"/>
          <w:color w:val="3A4356"/>
          <w:sz w:val="18"/>
        </w:rPr>
        <w:t>...VERSION 1.md</w:t>
      </w:r>
      <w:r>
        <w:rPr>
          <w:rFonts w:ascii="EB Garamond" w:hAnsi="EB Garamond" w:cs="EB Garamond"/>
          <w:b/>
          <w:i w:val="0"/>
          <w:color w:val="B54E1F"/>
          <w:sz w:val="23"/>
        </w:rPr>
        <w:t>, 50 KB)</w:t>
      </w:r>
    </w:p>
    <w:p>
      <w:pPr>
        <w:jc w:val="both"/>
      </w:pPr>
      <w:r>
        <w:rPr>
          <w:rFonts w:ascii="EB Garamond" w:hAnsi="EB Garamond" w:cs="EB Garamond"/>
          <w:b w:val="0"/>
          <w:i w:val="0"/>
          <w:color w:val="26282E"/>
          <w:sz w:val="21"/>
        </w:rPr>
        <w:t xml:space="preserve">Same skeleton; header is plain "DISCLAIMER" (not "ADMINISTRATIVE"); the declarant is "I: Claudia-Teresa: Valencia© for VALENCIA, CLAUDIA TERESA" instead of McFee; it addresses NYC's Corporation Counsel (Steven Banks) with a page of accurate NYC Law Department description; and it </w:t>
      </w:r>
      <w:r>
        <w:rPr>
          <w:rFonts w:ascii="EB Garamond" w:hAnsi="EB Garamond" w:cs="EB Garamond"/>
          <w:b/>
          <w:i w:val="0"/>
          <w:color w:val="26282E"/>
          <w:sz w:val="21"/>
        </w:rPr>
        <w:t>lacks</w:t>
      </w:r>
      <w:r>
        <w:rPr>
          <w:rFonts w:ascii="EB Garamond" w:hAnsi="EB Garamond" w:cs="EB Garamond"/>
          <w:b w:val="0"/>
          <w:i w:val="0"/>
          <w:color w:val="26282E"/>
          <w:sz w:val="21"/>
        </w:rPr>
        <w:t xml:space="preserve"> the McFee variant's NY public-authority block and L3C explainer, but contains the same Foreign Sovereign / Law of Peace / 18 U.S.C. 2333/1341/1342 template, the same Yates/ Luckenbach pseudo-authorities, and the same "Restoration, Reclamation and Restitution" demands. I.e., it is an earlier, shorter cut of the same form letter — evidence the template circulates with plug-in names.</w:t>
      </w:r>
    </w:p>
    <w:p>
      <w:pPr>
        <w:keepNext/>
      </w:pPr>
      <w:r>
        <w:rPr>
          <w:rFonts w:ascii="EB Garamond" w:hAnsi="EB Garamond" w:cs="EB Garamond"/>
          <w:b/>
          <w:i w:val="0"/>
          <w:color w:val="B54E1F"/>
          <w:sz w:val="23"/>
        </w:rPr>
        <w:t>1.4 SovCit indicator cross-reference (FBI / court findings)</w:t>
      </w:r>
    </w:p>
    <w:p>
      <w:pPr>
        <w:jc w:val="both"/>
      </w:pPr>
      <w:r>
        <w:rPr>
          <w:rFonts w:ascii="EB Garamond" w:hAnsi="EB Garamond" w:cs="EB Garamond"/>
          <w:b w:val="0"/>
          <w:i w:val="0"/>
          <w:color w:val="26282E"/>
          <w:sz w:val="21"/>
        </w:rPr>
        <w:t>The "Foreign Sovereign" + "Estate Trust beneficiaries" + "Archivist of titles" + "Law of Peace / DA Pam 27-161-1" cluster is documented sovereign-citizen boilerplate: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FBI Law Enforcement Bulletin, *"Sovereign Citizens: A Growing Domestic Threat to Law</w:t>
      </w:r>
    </w:p>
    <w:p>
      <w:pPr>
        <w:jc w:val="both"/>
      </w:pPr>
      <w:r>
        <w:rPr>
          <w:rFonts w:ascii="EB Garamond" w:hAnsi="EB Garamond" w:cs="EB Garamond"/>
          <w:b w:val="0"/>
          <w:i w:val="0"/>
          <w:color w:val="26282E"/>
          <w:sz w:val="21"/>
        </w:rPr>
        <w:t>Enforcement"* (Sept. 2011) — lists "paper terrorism" (fraudulent liens, bogus financial instruments), copyrighting one's name, and fictitious "foreign sovereign" status claims among movement indicators.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Courts apply these labels to near-identical texts. In </w:t>
      </w:r>
      <w:r>
        <w:rPr>
          <w:rFonts w:ascii="EB Garamond" w:hAnsi="EB Garamond" w:cs="EB Garamond"/>
          <w:b w:val="0"/>
          <w:i/>
          <w:color w:val="26282E"/>
          <w:sz w:val="21"/>
        </w:rPr>
        <w:t>Wildervoorn-Doomes</w:t>
      </w:r>
      <w:r>
        <w:rPr>
          <w:rFonts w:ascii="EB Garamond" w:hAnsi="EB Garamond" w:cs="EB Garamond"/>
          <w:b w:val="0"/>
          <w:i w:val="0"/>
          <w:color w:val="26282E"/>
          <w:sz w:val="21"/>
        </w:rPr>
        <w:t>-type dismissals, e.g.</w:t>
      </w:r>
    </w:p>
    <w:p>
      <w:pPr>
        <w:jc w:val="both"/>
      </w:pPr>
      <w:r>
        <w:rPr>
          <w:rFonts w:ascii="EB Garamond" w:hAnsi="EB Garamond" w:cs="EB Garamond"/>
          <w:b/>
          <w:i w:val="0"/>
          <w:color w:val="26282E"/>
          <w:sz w:val="21"/>
        </w:rPr>
        <w:t>Marcantel v. United States, No. 3:23-cv-00180 (M.D. La. 2023)</w:t>
      </w:r>
      <w:r>
        <w:rPr>
          <w:rFonts w:ascii="EB Garamond" w:hAnsi="EB Garamond" w:cs="EB Garamond"/>
          <w:b w:val="0"/>
          <w:i w:val="0"/>
          <w:color w:val="26282E"/>
          <w:sz w:val="21"/>
        </w:rPr>
        <w:t xml:space="preserve"> (magistrate's report), the plaintiff filed "vessels doing business as [Name] … publishing MANDATORY NOTICE that they are Foreign Sovereigns … not subject to Territorial or Municipal United States law and owed The Law of Peace, Department of the Army Pamphlet 27-161-1 … 18 USC 2333" — </w:t>
      </w:r>
      <w:r>
        <w:rPr>
          <w:rFonts w:ascii="EB Garamond" w:hAnsi="EB Garamond" w:cs="EB Garamond"/>
          <w:b/>
          <w:i w:val="0"/>
          <w:color w:val="26282E"/>
          <w:sz w:val="21"/>
        </w:rPr>
        <w:t>sentence-for-sentence the same template</w:t>
      </w:r>
      <w:r>
        <w:rPr>
          <w:rFonts w:ascii="EB Garamond" w:hAnsi="EB Garamond" w:cs="EB Garamond"/>
          <w:b w:val="0"/>
          <w:i w:val="0"/>
          <w:color w:val="26282E"/>
          <w:sz w:val="21"/>
        </w:rPr>
        <w:t xml:space="preserve"> as lines 13–15 of the DISCLAIMER doc. The court found the filings "frivolous and without merit," citing the standing rejection of sovereign-citizen theories.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The Anna von Reitz "Mandatory Notice" templates (annavonreitz.com) circulating in the movement</w:t>
      </w:r>
    </w:p>
    <w:p>
      <w:pPr>
        <w:jc w:val="both"/>
      </w:pPr>
      <w:r>
        <w:rPr>
          <w:rFonts w:ascii="EB Garamond" w:hAnsi="EB Garamond" w:cs="EB Garamond"/>
          <w:b w:val="0"/>
          <w:i w:val="0"/>
          <w:color w:val="26282E"/>
          <w:sz w:val="21"/>
        </w:rPr>
        <w:t>contain the identical "Foreign Sovereigns … owed The Law of Peace, Department of the Army Pamphlet 27-161-1, from all Territorial and Municipal Officers and employees who otherwise have no permission to approach or address them … 18 USC 2333 18 USC 1341 and 1342" language — the source family of the exhibit text.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Additional markers present in the doc and on FBI lists: punctuation stylings</w:t>
      </w:r>
    </w:p>
    <w:p>
      <w:pPr>
        <w:jc w:val="both"/>
      </w:pPr>
      <w:r>
        <w:rPr>
          <w:rFonts w:ascii="EB Garamond" w:hAnsi="EB Garamond" w:cs="EB Garamond"/>
          <w:b w:val="0"/>
          <w:i w:val="0"/>
          <w:color w:val="26282E"/>
          <w:sz w:val="21"/>
        </w:rPr>
        <w:t>("Philomen-Anabelle: McFee©"), a fictitious tax-exempt number, "secured party"/estate-trust beneficiary framing, USPS-as-notary/universal-receiver myth, and refusal-of-consent-to-contract ("adhesion contracts") rhetoric.</w:t>
      </w:r>
    </w:p>
    <w:p>
      <w:pPr>
        <w:pBdr>
          <w:bottom w:val="single" w:sz="6" w:space="1" w:color="B9975B"/>
        </w:pBdr>
      </w:pPr>
    </w:p>
    <w:p>
      <w:pPr>
        <w:keepNext/>
        <w:spacing w:before="240"/>
      </w:pPr>
      <w:r>
        <w:rPr>
          <w:rFonts w:ascii="EB Garamond" w:hAnsi="EB Garamond" w:cs="EB Garamond"/>
          <w:b/>
          <w:i w:val="0"/>
          <w:color w:val="1B2A41"/>
          <w:sz w:val="28"/>
        </w:rPr>
        <w:t>2. THE RECORD — verified law with citations</w:t>
      </w:r>
    </w:p>
    <w:p>
      <w:pPr>
        <w:keepNext/>
      </w:pPr>
      <w:r>
        <w:rPr>
          <w:rFonts w:ascii="EB Garamond" w:hAnsi="EB Garamond" w:cs="EB Garamond"/>
          <w:b/>
          <w:i w:val="0"/>
          <w:color w:val="B54E1F"/>
          <w:sz w:val="23"/>
        </w:rPr>
        <w:t>2.1 Adverse possession in New York (RPAPL §§ 501–541)</w:t>
      </w:r>
    </w:p>
    <w:p>
      <w:pPr>
        <w:jc w:val="both"/>
      </w:pPr>
      <w:r>
        <w:rPr>
          <w:rFonts w:ascii="EB Garamond" w:hAnsi="EB Garamond" w:cs="EB Garamond"/>
          <w:b/>
          <w:i w:val="0"/>
          <w:color w:val="26282E"/>
          <w:sz w:val="21"/>
        </w:rPr>
        <w:t>Statutory frame.</w:t>
      </w:r>
      <w:r>
        <w:rPr>
          <w:rFonts w:ascii="EB Garamond" w:hAnsi="EB Garamond" w:cs="EB Garamond"/>
          <w:b w:val="0"/>
          <w:i w:val="0"/>
          <w:color w:val="26282E"/>
          <w:sz w:val="21"/>
        </w:rPr>
        <w:t xml:space="preserve"> Article 5 of the Real Property Actions and Proceedings Law ("RPAPL") governs: § 501 (definitions), §§ 511–512 (adverse possession </w:t>
      </w:r>
      <w:r>
        <w:rPr>
          <w:rFonts w:ascii="EB Garamond" w:hAnsi="EB Garamond" w:cs="EB Garamond"/>
          <w:b/>
          <w:i w:val="0"/>
          <w:color w:val="26282E"/>
          <w:sz w:val="21"/>
        </w:rPr>
        <w:t>under written instrument/judgment</w:t>
      </w:r>
      <w:r>
        <w:rPr>
          <w:rFonts w:ascii="EB Garamond" w:hAnsi="EB Garamond" w:cs="EB Garamond"/>
          <w:b w:val="0"/>
          <w:i w:val="0"/>
          <w:color w:val="26282E"/>
          <w:sz w:val="21"/>
        </w:rPr>
        <w:t xml:space="preserve"> — "color of title"), §§ 521–522 (adverse possession </w:t>
      </w:r>
      <w:r>
        <w:rPr>
          <w:rFonts w:ascii="EB Garamond" w:hAnsi="EB Garamond" w:cs="EB Garamond"/>
          <w:b/>
          <w:i w:val="0"/>
          <w:color w:val="26282E"/>
          <w:sz w:val="21"/>
        </w:rPr>
        <w:t>not</w:t>
      </w:r>
      <w:r>
        <w:rPr>
          <w:rFonts w:ascii="EB Garamond" w:hAnsi="EB Garamond" w:cs="EB Garamond"/>
          <w:b w:val="0"/>
          <w:i w:val="0"/>
          <w:color w:val="26282E"/>
          <w:sz w:val="21"/>
        </w:rPr>
        <w:t xml:space="preserve"> under written instrument), § 531 (landlord-tenant relation), § 541 (tenants in common), § 543 (boundary-line acts).</w:t>
      </w:r>
    </w:p>
    <w:p>
      <w:pPr>
        <w:jc w:val="both"/>
      </w:pPr>
      <w:r>
        <w:rPr>
          <w:rFonts w:ascii="EB Garamond" w:hAnsi="EB Garamond" w:cs="EB Garamond"/>
          <w:b/>
          <w:i w:val="0"/>
          <w:color w:val="26282E"/>
          <w:sz w:val="21"/>
        </w:rPr>
        <w:t>The statutory period is 10 years.</w:t>
      </w:r>
      <w:r>
        <w:rPr>
          <w:rFonts w:ascii="EB Garamond" w:hAnsi="EB Garamond" w:cs="EB Garamond"/>
          <w:b w:val="0"/>
          <w:i w:val="0"/>
          <w:color w:val="26282E"/>
          <w:sz w:val="21"/>
        </w:rPr>
        <w:t xml:space="preserve"> RPAPL § 501(2) ties title to the statute of limitations in CPLR § 212(a) — an action to recover real property must be commenced within </w:t>
      </w:r>
      <w:r>
        <w:rPr>
          <w:rFonts w:ascii="EB Garamond" w:hAnsi="EB Garamond" w:cs="EB Garamond"/>
          <w:b/>
          <w:i w:val="0"/>
          <w:color w:val="26282E"/>
          <w:sz w:val="21"/>
        </w:rPr>
        <w:t>ten years</w:t>
      </w:r>
      <w:r>
        <w:rPr>
          <w:rFonts w:ascii="EB Garamond" w:hAnsi="EB Garamond" w:cs="EB Garamond"/>
          <w:b w:val="0"/>
          <w:i w:val="0"/>
          <w:color w:val="26282E"/>
          <w:sz w:val="21"/>
        </w:rPr>
        <w:t>; when it expires (and the occupancy has been adverse, under claim of right, open and notorious, continuous, exclusive, and actual), title vests in the adverse possessor.</w:t>
      </w:r>
    </w:p>
    <w:p>
      <w:pPr>
        <w:jc w:val="both"/>
      </w:pPr>
      <w:r>
        <w:rPr>
          <w:rFonts w:ascii="EB Garamond" w:hAnsi="EB Garamond" w:cs="EB Garamond"/>
          <w:b/>
          <w:i w:val="0"/>
          <w:color w:val="26282E"/>
          <w:sz w:val="21"/>
        </w:rPr>
        <w:t>Elements.</w:t>
      </w:r>
      <w:r>
        <w:rPr>
          <w:rFonts w:ascii="EB Garamond" w:hAnsi="EB Garamond" w:cs="EB Garamond"/>
          <w:b w:val="0"/>
          <w:i w:val="0"/>
          <w:color w:val="26282E"/>
          <w:sz w:val="21"/>
        </w:rPr>
        <w:t xml:space="preserve"> The classic five-element formulation, restated by the Court of Appeals in </w:t>
      </w:r>
      <w:r>
        <w:rPr>
          <w:rFonts w:ascii="EB Garamond" w:hAnsi="EB Garamond" w:cs="EB Garamond"/>
          <w:b w:val="0"/>
          <w:i/>
          <w:color w:val="26282E"/>
          <w:sz w:val="21"/>
        </w:rPr>
        <w:t>Walling v. Przybylo</w:t>
      </w:r>
      <w:r>
        <w:rPr>
          <w:rFonts w:ascii="EB Garamond" w:hAnsi="EB Garamond" w:cs="EB Garamond"/>
          <w:b w:val="0"/>
          <w:i w:val="0"/>
          <w:color w:val="26282E"/>
          <w:sz w:val="21"/>
        </w:rPr>
        <w:t xml:space="preserve">, </w:t>
      </w:r>
      <w:r>
        <w:rPr>
          <w:rFonts w:ascii="EB Garamond" w:hAnsi="EB Garamond" w:cs="EB Garamond"/>
          <w:b/>
          <w:i w:val="0"/>
          <w:color w:val="26282E"/>
          <w:sz w:val="21"/>
        </w:rPr>
        <w:t>7 N.Y.3d 214 (2006)</w:t>
      </w:r>
      <w:r>
        <w:rPr>
          <w:rFonts w:ascii="EB Garamond" w:hAnsi="EB Garamond" w:cs="EB Garamond"/>
          <w:b w:val="0"/>
          <w:i w:val="0"/>
          <w:color w:val="26282E"/>
          <w:sz w:val="21"/>
        </w:rPr>
        <w:t xml:space="preserve">: possession must be (1) </w:t>
      </w:r>
      <w:r>
        <w:rPr>
          <w:rFonts w:ascii="EB Garamond" w:hAnsi="EB Garamond" w:cs="EB Garamond"/>
          <w:b/>
          <w:i w:val="0"/>
          <w:color w:val="26282E"/>
          <w:sz w:val="21"/>
        </w:rPr>
        <w:t>hostile and under claim of right</w:t>
      </w:r>
      <w:r>
        <w:rPr>
          <w:rFonts w:ascii="EB Garamond" w:hAnsi="EB Garamond" w:cs="EB Garamond"/>
          <w:b w:val="0"/>
          <w:i w:val="0"/>
          <w:color w:val="26282E"/>
          <w:sz w:val="21"/>
        </w:rPr>
        <w:t xml:space="preserve">, (2) </w:t>
      </w:r>
      <w:r>
        <w:rPr>
          <w:rFonts w:ascii="EB Garamond" w:hAnsi="EB Garamond" w:cs="EB Garamond"/>
          <w:b/>
          <w:i w:val="0"/>
          <w:color w:val="26282E"/>
          <w:sz w:val="21"/>
        </w:rPr>
        <w:t>actual</w:t>
      </w:r>
      <w:r>
        <w:rPr>
          <w:rFonts w:ascii="EB Garamond" w:hAnsi="EB Garamond" w:cs="EB Garamond"/>
          <w:b w:val="0"/>
          <w:i w:val="0"/>
          <w:color w:val="26282E"/>
          <w:sz w:val="21"/>
        </w:rPr>
        <w:t xml:space="preserve">, (3) </w:t>
      </w:r>
      <w:r>
        <w:rPr>
          <w:rFonts w:ascii="EB Garamond" w:hAnsi="EB Garamond" w:cs="EB Garamond"/>
          <w:b/>
          <w:i w:val="0"/>
          <w:color w:val="26282E"/>
          <w:sz w:val="21"/>
        </w:rPr>
        <w:t>open and notorious</w:t>
      </w:r>
      <w:r>
        <w:rPr>
          <w:rFonts w:ascii="EB Garamond" w:hAnsi="EB Garamond" w:cs="EB Garamond"/>
          <w:b w:val="0"/>
          <w:i w:val="0"/>
          <w:color w:val="26282E"/>
          <w:sz w:val="21"/>
        </w:rPr>
        <w:t xml:space="preserve">, (4) </w:t>
      </w:r>
      <w:r>
        <w:rPr>
          <w:rFonts w:ascii="EB Garamond" w:hAnsi="EB Garamond" w:cs="EB Garamond"/>
          <w:b/>
          <w:i w:val="0"/>
          <w:color w:val="26282E"/>
          <w:sz w:val="21"/>
        </w:rPr>
        <w:t>exclusive</w:t>
      </w:r>
      <w:r>
        <w:rPr>
          <w:rFonts w:ascii="EB Garamond" w:hAnsi="EB Garamond" w:cs="EB Garamond"/>
          <w:b w:val="0"/>
          <w:i w:val="0"/>
          <w:color w:val="26282E"/>
          <w:sz w:val="21"/>
        </w:rPr>
        <w:t xml:space="preserve">, and (5) </w:t>
      </w:r>
      <w:r>
        <w:rPr>
          <w:rFonts w:ascii="EB Garamond" w:hAnsi="EB Garamond" w:cs="EB Garamond"/>
          <w:b/>
          <w:i w:val="0"/>
          <w:color w:val="26282E"/>
          <w:sz w:val="21"/>
        </w:rPr>
        <w:t>continuous for the statutory period</w:t>
      </w:r>
      <w:r>
        <w:rPr>
          <w:rFonts w:ascii="EB Garamond" w:hAnsi="EB Garamond" w:cs="EB Garamond"/>
          <w:b w:val="0"/>
          <w:i w:val="0"/>
          <w:color w:val="26282E"/>
          <w:sz w:val="21"/>
        </w:rPr>
        <w:t xml:space="preserve"> (citing </w:t>
      </w:r>
      <w:r>
        <w:rPr>
          <w:rFonts w:ascii="EB Garamond" w:hAnsi="EB Garamond" w:cs="EB Garamond"/>
          <w:b w:val="0"/>
          <w:i/>
          <w:color w:val="26282E"/>
          <w:sz w:val="21"/>
        </w:rPr>
        <w:t>Belotti v. Bickhardt</w:t>
      </w:r>
      <w:r>
        <w:rPr>
          <w:rFonts w:ascii="EB Garamond" w:hAnsi="EB Garamond" w:cs="EB Garamond"/>
          <w:b w:val="0"/>
          <w:i w:val="0"/>
          <w:color w:val="26282E"/>
          <w:sz w:val="21"/>
        </w:rPr>
        <w:t xml:space="preserve">, 228 N.Y. 296 (1920); </w:t>
      </w:r>
      <w:r>
        <w:rPr>
          <w:rFonts w:ascii="EB Garamond" w:hAnsi="EB Garamond" w:cs="EB Garamond"/>
          <w:b w:val="0"/>
          <w:i/>
          <w:color w:val="26282E"/>
          <w:sz w:val="21"/>
        </w:rPr>
        <w:t>Van Valkenburgh v. Lutz</w:t>
      </w:r>
      <w:r>
        <w:rPr>
          <w:rFonts w:ascii="EB Garamond" w:hAnsi="EB Garamond" w:cs="EB Garamond"/>
          <w:b w:val="0"/>
          <w:i w:val="0"/>
          <w:color w:val="26282E"/>
          <w:sz w:val="21"/>
        </w:rPr>
        <w:t xml:space="preserve">, 304 N.Y. 95 (1952)). Proof is by </w:t>
      </w:r>
      <w:r>
        <w:rPr>
          <w:rFonts w:ascii="EB Garamond" w:hAnsi="EB Garamond" w:cs="EB Garamond"/>
          <w:b/>
          <w:i w:val="0"/>
          <w:color w:val="26282E"/>
          <w:sz w:val="21"/>
        </w:rPr>
        <w:t>clear and convincing evidence</w:t>
      </w:r>
      <w:r>
        <w:rPr>
          <w:rFonts w:ascii="EB Garamond" w:hAnsi="EB Garamond" w:cs="EB Garamond"/>
          <w:b w:val="0"/>
          <w:i w:val="0"/>
          <w:color w:val="26282E"/>
          <w:sz w:val="21"/>
        </w:rPr>
        <w:t xml:space="preserve"> (</w:t>
      </w:r>
      <w:r>
        <w:rPr>
          <w:rFonts w:ascii="EB Garamond" w:hAnsi="EB Garamond" w:cs="EB Garamond"/>
          <w:b w:val="0"/>
          <w:i/>
          <w:color w:val="26282E"/>
          <w:sz w:val="21"/>
        </w:rPr>
        <w:t>Ray v. Beacon Hudson Mountain Corp.</w:t>
      </w:r>
      <w:r>
        <w:rPr>
          <w:rFonts w:ascii="EB Garamond" w:hAnsi="EB Garamond" w:cs="EB Garamond"/>
          <w:b w:val="0"/>
          <w:i w:val="0"/>
          <w:color w:val="26282E"/>
          <w:sz w:val="21"/>
        </w:rPr>
        <w:t>, 88 N.Y.2d 154 (1996)).</w:t>
      </w:r>
    </w:p>
    <w:p>
      <w:pPr>
        <w:jc w:val="both"/>
      </w:pPr>
      <w:r>
        <w:rPr>
          <w:rFonts w:ascii="EB Garamond" w:hAnsi="EB Garamond" w:cs="EB Garamond"/>
          <w:b w:val="0"/>
          <w:i w:val="0"/>
          <w:color w:val="26282E"/>
          <w:sz w:val="21"/>
        </w:rPr>
        <w:t>**</w:t>
      </w:r>
      <w:r>
        <w:rPr>
          <w:rFonts w:ascii="EB Garamond" w:hAnsi="EB Garamond" w:cs="EB Garamond"/>
          <w:b w:val="0"/>
          <w:i/>
          <w:color w:val="26282E"/>
          <w:sz w:val="21"/>
        </w:rPr>
        <w:t>Walling v. Przybylo</w:t>
      </w:r>
      <w:r>
        <w:rPr>
          <w:rFonts w:ascii="EB Garamond" w:hAnsi="EB Garamond" w:cs="EB Garamond"/>
          <w:b w:val="0"/>
          <w:i w:val="0"/>
          <w:color w:val="26282E"/>
          <w:sz w:val="21"/>
        </w:rPr>
        <w:t xml:space="preserve"> and the 2008 amendments.*</w:t>
      </w:r>
      <w:r>
        <w:rPr>
          <w:rFonts w:ascii="EB Garamond" w:hAnsi="EB Garamond" w:cs="EB Garamond"/>
          <w:b w:val="0"/>
          <w:i/>
          <w:color w:val="26282E"/>
          <w:sz w:val="21"/>
        </w:rPr>
        <w:t xml:space="preserve"> </w:t>
      </w:r>
      <w:r>
        <w:rPr>
          <w:rFonts w:ascii="EB Garamond" w:hAnsi="EB Garamond" w:cs="EB Garamond"/>
          <w:b w:val="0"/>
          <w:i w:val="0"/>
          <w:color w:val="26282E"/>
          <w:sz w:val="21"/>
        </w:rPr>
        <w:t>Walling</w:t>
      </w:r>
      <w:r>
        <w:rPr>
          <w:rFonts w:ascii="EB Garamond" w:hAnsi="EB Garamond" w:cs="EB Garamond"/>
          <w:b w:val="0"/>
          <w:i/>
          <w:color w:val="26282E"/>
          <w:sz w:val="21"/>
        </w:rPr>
        <w:t xml:space="preserve"> held that an adverse possessor's </w:t>
      </w:r>
      <w:r>
        <w:rPr>
          <w:rFonts w:ascii="EB Garamond" w:hAnsi="EB Garamond" w:cs="EB Garamond"/>
          <w:b w:val="0"/>
          <w:i/>
          <w:color w:val="26282E"/>
          <w:sz w:val="21"/>
        </w:rPr>
        <w:t>actual knowledge</w:t>
      </w:r>
      <w:r>
        <w:rPr>
          <w:rFonts w:ascii="EB Garamond" w:hAnsi="EB Garamond" w:cs="EB Garamond"/>
          <w:b w:val="0"/>
          <w:i/>
          <w:color w:val="26282E"/>
          <w:sz w:val="21"/>
        </w:rPr>
        <w:t xml:space="preserve"> of the true owner does not, by itself, defeat the "claim of right" element — the Wallings won title to a strip they knew (from a 2004 survey) belonged to the Przybylos, based on 18+ years of mowing, landscaping, and construction across the mistaken boundary. The Legislature reacted in 2008 (effective </w:t>
      </w:r>
      <w:r>
        <w:rPr>
          <w:rFonts w:ascii="EB Garamond" w:hAnsi="EB Garamond" w:cs="EB Garamond"/>
          <w:b w:val="0"/>
          <w:i/>
          <w:color w:val="26282E"/>
          <w:sz w:val="21"/>
        </w:rPr>
        <w:t>July 8, 2008</w:t>
      </w:r>
      <w:r>
        <w:rPr>
          <w:rFonts w:ascii="EB Garamond" w:hAnsi="EB Garamond" w:cs="EB Garamond"/>
          <w:b w:val="0"/>
          <w:i w:val="0"/>
          <w:color w:val="26282E"/>
          <w:sz w:val="21"/>
        </w:rPr>
        <w:t>*, L. 2008, ch. 269), amending RPAPL Article 5 to:</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redefine </w:t>
      </w:r>
      <w:r>
        <w:rPr>
          <w:rFonts w:ascii="EB Garamond" w:hAnsi="EB Garamond" w:cs="EB Garamond"/>
          <w:b/>
          <w:i w:val="0"/>
          <w:color w:val="26282E"/>
          <w:sz w:val="21"/>
        </w:rPr>
        <w:t>"claim of right"</w:t>
      </w:r>
      <w:r>
        <w:rPr>
          <w:rFonts w:ascii="EB Garamond" w:hAnsi="EB Garamond" w:cs="EB Garamond"/>
          <w:b w:val="0"/>
          <w:i w:val="0"/>
          <w:color w:val="26282E"/>
          <w:sz w:val="21"/>
        </w:rPr>
        <w:t xml:space="preserve"> as "a </w:t>
      </w:r>
      <w:r>
        <w:rPr>
          <w:rFonts w:ascii="EB Garamond" w:hAnsi="EB Garamond" w:cs="EB Garamond"/>
          <w:b/>
          <w:i w:val="0"/>
          <w:color w:val="26282E"/>
          <w:sz w:val="21"/>
        </w:rPr>
        <w:t>reasonable basis for the belief</w:t>
      </w:r>
      <w:r>
        <w:rPr>
          <w:rFonts w:ascii="EB Garamond" w:hAnsi="EB Garamond" w:cs="EB Garamond"/>
          <w:b w:val="0"/>
          <w:i w:val="0"/>
          <w:color w:val="26282E"/>
          <w:sz w:val="21"/>
        </w:rPr>
        <w:t xml:space="preserve"> that the property belongs</w:t>
      </w:r>
    </w:p>
    <w:p>
      <w:pPr>
        <w:jc w:val="both"/>
      </w:pPr>
      <w:r>
        <w:rPr>
          <w:rFonts w:ascii="EB Garamond" w:hAnsi="EB Garamond" w:cs="EB Garamond"/>
          <w:b w:val="0"/>
          <w:i w:val="0"/>
          <w:color w:val="26282E"/>
          <w:sz w:val="21"/>
        </w:rPr>
        <w:t xml:space="preserve">to the adverse possessor" (§ 501(3)) — codifying a good-faith-style requirement that overrules </w:t>
      </w:r>
      <w:r>
        <w:rPr>
          <w:rFonts w:ascii="EB Garamond" w:hAnsi="EB Garamond" w:cs="EB Garamond"/>
          <w:b w:val="0"/>
          <w:i/>
          <w:color w:val="26282E"/>
          <w:sz w:val="21"/>
        </w:rPr>
        <w:t>Walling</w:t>
      </w:r>
      <w:r>
        <w:rPr>
          <w:rFonts w:ascii="EB Garamond" w:hAnsi="EB Garamond" w:cs="EB Garamond"/>
          <w:b w:val="0"/>
          <w:i w:val="0"/>
          <w:color w:val="26282E"/>
          <w:sz w:val="21"/>
        </w:rPr>
        <w:t xml:space="preserve"> for claims accruing after the amendment;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deem </w:t>
      </w:r>
      <w:r>
        <w:rPr>
          <w:rFonts w:ascii="EB Garamond" w:hAnsi="EB Garamond" w:cs="EB Garamond"/>
          <w:b/>
          <w:i w:val="0"/>
          <w:color w:val="26282E"/>
          <w:sz w:val="21"/>
        </w:rPr>
        <w:t>"de minimis non-structural encroachments"</w:t>
      </w:r>
      <w:r>
        <w:rPr>
          <w:rFonts w:ascii="EB Garamond" w:hAnsi="EB Garamond" w:cs="EB Garamond"/>
          <w:b w:val="0"/>
          <w:i w:val="0"/>
          <w:color w:val="26282E"/>
          <w:sz w:val="21"/>
        </w:rPr>
        <w:t xml:space="preserve"> (fences, hedges, shrubbery, plantings, sheds,</w:t>
      </w:r>
    </w:p>
    <w:p>
      <w:pPr>
        <w:jc w:val="both"/>
      </w:pPr>
      <w:r>
        <w:rPr>
          <w:rFonts w:ascii="EB Garamond" w:hAnsi="EB Garamond" w:cs="EB Garamond"/>
          <w:b w:val="0"/>
          <w:i w:val="0"/>
          <w:color w:val="26282E"/>
          <w:sz w:val="21"/>
        </w:rPr>
        <w:t xml:space="preserve">non-structural walls) and </w:t>
      </w:r>
      <w:r>
        <w:rPr>
          <w:rFonts w:ascii="EB Garamond" w:hAnsi="EB Garamond" w:cs="EB Garamond"/>
          <w:b/>
          <w:i w:val="0"/>
          <w:color w:val="26282E"/>
          <w:sz w:val="21"/>
        </w:rPr>
        <w:t>lawnmowing or similar maintenance</w:t>
      </w:r>
      <w:r>
        <w:rPr>
          <w:rFonts w:ascii="EB Garamond" w:hAnsi="EB Garamond" w:cs="EB Garamond"/>
          <w:b w:val="0"/>
          <w:i w:val="0"/>
          <w:color w:val="26282E"/>
          <w:sz w:val="21"/>
        </w:rPr>
        <w:t xml:space="preserve"> across a boundary line "</w:t>
      </w:r>
      <w:r>
        <w:rPr>
          <w:rFonts w:ascii="EB Garamond" w:hAnsi="EB Garamond" w:cs="EB Garamond"/>
          <w:b/>
          <w:i w:val="0"/>
          <w:color w:val="26282E"/>
          <w:sz w:val="21"/>
        </w:rPr>
        <w:t>permissive and non-adverse</w:t>
      </w:r>
      <w:r>
        <w:rPr>
          <w:rFonts w:ascii="EB Garamond" w:hAnsi="EB Garamond" w:cs="EB Garamond"/>
          <w:b w:val="0"/>
          <w:i w:val="0"/>
          <w:color w:val="26282E"/>
          <w:sz w:val="21"/>
        </w:rPr>
        <w:t>" per se (§ 543(1)–(2));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tighten §§ 511/512 (written-instrument claims: the instrument must actually describe the land,</w:t>
      </w:r>
    </w:p>
    <w:p>
      <w:pPr>
        <w:jc w:val="both"/>
      </w:pPr>
      <w:r>
        <w:rPr>
          <w:rFonts w:ascii="EB Garamond" w:hAnsi="EB Garamond" w:cs="EB Garamond"/>
          <w:b w:val="0"/>
          <w:i w:val="0"/>
          <w:color w:val="26282E"/>
          <w:sz w:val="21"/>
        </w:rPr>
        <w:t xml:space="preserve">and possession must be of the whole described premises, with the requirements expressly stated in § 512(1)–(6)). Retroactivity was limited: the amendments apply to claims </w:t>
      </w:r>
      <w:r>
        <w:rPr>
          <w:rFonts w:ascii="EB Garamond" w:hAnsi="EB Garamond" w:cs="EB Garamond"/>
          <w:b/>
          <w:i w:val="0"/>
          <w:color w:val="26282E"/>
          <w:sz w:val="21"/>
        </w:rPr>
        <w:t>filed on or after July 8, 2008</w:t>
      </w:r>
      <w:r>
        <w:rPr>
          <w:rFonts w:ascii="EB Garamond" w:hAnsi="EB Garamond" w:cs="EB Garamond"/>
          <w:b w:val="0"/>
          <w:i w:val="0"/>
          <w:color w:val="26282E"/>
          <w:sz w:val="21"/>
        </w:rPr>
        <w:t xml:space="preserve">, but courts hold title </w:t>
      </w:r>
      <w:r>
        <w:rPr>
          <w:rFonts w:ascii="EB Garamond" w:hAnsi="EB Garamond" w:cs="EB Garamond"/>
          <w:b/>
          <w:i w:val="0"/>
          <w:color w:val="26282E"/>
          <w:sz w:val="21"/>
        </w:rPr>
        <w:t>vests under the law in force when the prescriptive period completed</w:t>
      </w:r>
      <w:r>
        <w:rPr>
          <w:rFonts w:ascii="EB Garamond" w:hAnsi="EB Garamond" w:cs="EB Garamond"/>
          <w:b w:val="0"/>
          <w:i w:val="0"/>
          <w:color w:val="26282E"/>
          <w:sz w:val="21"/>
        </w:rPr>
        <w:t>, so pre-2008-vesting claims are measured by the old standard (</w:t>
      </w:r>
      <w:r>
        <w:rPr>
          <w:rFonts w:ascii="EB Garamond" w:hAnsi="EB Garamond" w:cs="EB Garamond"/>
          <w:b w:val="0"/>
          <w:i/>
          <w:color w:val="26282E"/>
          <w:sz w:val="21"/>
        </w:rPr>
        <w:t>e.g.</w:t>
      </w:r>
      <w:r>
        <w:rPr>
          <w:rFonts w:ascii="EB Garamond" w:hAnsi="EB Garamond" w:cs="EB Garamond"/>
          <w:b w:val="0"/>
          <w:i w:val="0"/>
          <w:color w:val="26282E"/>
          <w:sz w:val="21"/>
        </w:rPr>
        <w:t>, Fourth Department unconstitutionality-of-retroactive-application analysis; First Department, June 30, 2016, applied the same vesting rule, discussed next).</w:t>
      </w:r>
    </w:p>
    <w:p>
      <w:pPr>
        <w:jc w:val="both"/>
      </w:pPr>
      <w:r>
        <w:rPr>
          <w:rFonts w:ascii="EB Garamond" w:hAnsi="EB Garamond" w:cs="EB Garamond"/>
          <w:b w:val="0"/>
          <w:i w:val="0"/>
          <w:color w:val="26282E"/>
          <w:sz w:val="21"/>
        </w:rPr>
        <w:t>**</w:t>
      </w:r>
      <w:r>
        <w:rPr>
          <w:rFonts w:ascii="EB Garamond" w:hAnsi="EB Garamond" w:cs="EB Garamond"/>
          <w:b w:val="0"/>
          <w:i/>
          <w:color w:val="26282E"/>
          <w:sz w:val="21"/>
        </w:rPr>
        <w:t>Hudson Square Hotel, LLC v. Stathis Enterprises, LLC</w:t>
      </w:r>
      <w:r>
        <w:rPr>
          <w:rFonts w:ascii="EB Garamond" w:hAnsi="EB Garamond" w:cs="EB Garamond"/>
          <w:b w:val="0"/>
          <w:i w:val="0"/>
          <w:color w:val="26282E"/>
          <w:sz w:val="21"/>
        </w:rPr>
        <w:t>, 2016 NY Slip Op 05232 (1st Dep't, June 30, 2016)</w:t>
      </w:r>
      <w:r>
        <w:rPr>
          <w:rFonts w:ascii="EB Garamond" w:hAnsi="EB Garamond" w:cs="EB Garamond"/>
          <w:b/>
          <w:i w:val="0"/>
          <w:color w:val="26282E"/>
          <w:sz w:val="21"/>
        </w:rPr>
        <w:t xml:space="preserve"> — the case summarized (mostly accurately) at lines 129–133 of the squatting doc: title vested when the plaintiff "satisfied the requirement of the statute in effect at the relevant time"; an encroachment </w:t>
      </w:r>
      <w:r>
        <w:rPr>
          <w:rFonts w:ascii="EB Garamond" w:hAnsi="EB Garamond" w:cs="EB Garamond"/>
          <w:b w:val="0"/>
          <w:i w:val="0"/>
          <w:color w:val="26282E"/>
          <w:sz w:val="21"/>
        </w:rPr>
        <w:t>on the land</w:t>
      </w:r>
      <w:r>
        <w:rPr>
          <w:rFonts w:ascii="EB Garamond" w:hAnsi="EB Garamond" w:cs="EB Garamond"/>
          <w:b/>
          <w:i w:val="0"/>
          <w:color w:val="26282E"/>
          <w:sz w:val="21"/>
        </w:rPr>
        <w:t xml:space="preserve"> suffices — the possessor need not physically occupy the air above — and "</w:t>
      </w:r>
      <w:r>
        <w:rPr>
          <w:rFonts w:ascii="EB Garamond" w:hAnsi="EB Garamond" w:cs="EB Garamond"/>
          <w:b w:val="0"/>
          <w:i w:val="0"/>
          <w:color w:val="26282E"/>
          <w:sz w:val="21"/>
        </w:rPr>
        <w:t>[w]ith title to land come air rights*</w:t>
      </w:r>
      <w:r>
        <w:rPr>
          <w:rFonts w:ascii="EB Garamond" w:hAnsi="EB Garamond" w:cs="EB Garamond"/>
          <w:b w:val="0"/>
          <w:i/>
          <w:color w:val="26282E"/>
          <w:sz w:val="21"/>
        </w:rPr>
        <w:t xml:space="preserve">," so the plaintiff acquired the (more valuable) air rights derivatively. </w:t>
      </w:r>
      <w:r>
        <w:rPr>
          <w:rFonts w:ascii="EB Garamond" w:hAnsi="EB Garamond" w:cs="EB Garamond"/>
          <w:b w:val="0"/>
          <w:i w:val="0"/>
          <w:color w:val="26282E"/>
          <w:sz w:val="21"/>
        </w:rPr>
        <w:t>Caveat for accuracy:</w:t>
      </w:r>
      <w:r>
        <w:rPr>
          <w:rFonts w:ascii="EB Garamond" w:hAnsi="EB Garamond" w:cs="EB Garamond"/>
          <w:b w:val="0"/>
          <w:i/>
          <w:color w:val="26282E"/>
          <w:sz w:val="21"/>
        </w:rPr>
        <w:t xml:space="preserve"> later stages of the litigation (</w:t>
      </w:r>
      <w:r>
        <w:rPr>
          <w:rFonts w:ascii="EB Garamond" w:hAnsi="EB Garamond" w:cs="EB Garamond"/>
          <w:b w:val="0"/>
          <w:i w:val="0"/>
          <w:color w:val="26282E"/>
          <w:sz w:val="21"/>
        </w:rPr>
        <w:t>Stang LLC v. Hudson Square Hotel</w:t>
      </w:r>
      <w:r>
        <w:rPr>
          <w:rFonts w:ascii="EB Garamond" w:hAnsi="EB Garamond" w:cs="EB Garamond"/>
          <w:b w:val="0"/>
          <w:i/>
          <w:color w:val="26282E"/>
          <w:sz w:val="21"/>
        </w:rPr>
        <w:t xml:space="preserve">, Sup. Ct. N.Y. Cnty. 2016) </w:t>
      </w:r>
      <w:r>
        <w:rPr>
          <w:rFonts w:ascii="EB Garamond" w:hAnsi="EB Garamond" w:cs="EB Garamond"/>
          <w:b w:val="0"/>
          <w:i/>
          <w:color w:val="26282E"/>
          <w:sz w:val="21"/>
        </w:rPr>
        <w:t>disqualified the plaintiff's counsel and vacated the 2013 conveyance</w:t>
      </w:r>
      <w:r>
        <w:rPr>
          <w:rFonts w:ascii="EB Garamond" w:hAnsi="EB Garamond" w:cs="EB Garamond"/>
          <w:b w:val="0"/>
          <w:i w:val="0"/>
          <w:color w:val="26282E"/>
          <w:sz w:val="21"/>
        </w:rPr>
        <w:t>* obtained by the adverse-possession winner, so the air-rights dictum should be exhibited as a holding later complicated by attorney-misconduct litigation.</w:t>
      </w:r>
    </w:p>
    <w:p>
      <w:pPr>
        <w:jc w:val="both"/>
      </w:pPr>
      <w:r>
        <w:rPr>
          <w:rFonts w:ascii="EB Garamond" w:hAnsi="EB Garamond" w:cs="EB Garamond"/>
          <w:b/>
          <w:i w:val="0"/>
          <w:color w:val="26282E"/>
          <w:sz w:val="21"/>
        </w:rPr>
        <w:t>Recent squatter-coverage controversy and the 2024 statutory fix.</w:t>
      </w:r>
      <w:r>
        <w:rPr>
          <w:rFonts w:ascii="EB Garamond" w:hAnsi="EB Garamond" w:cs="EB Garamond"/>
          <w:b w:val="0"/>
          <w:i w:val="0"/>
          <w:color w:val="26282E"/>
          <w:sz w:val="21"/>
        </w:rPr>
        <w:t xml:space="preserve"> Through the early 2020s, NYC (especially Queens) and Long Island saw widely covered cases of strangers occupying homes; public furor centered on the (largely mythical) idea that </w:t>
      </w:r>
      <w:r>
        <w:rPr>
          <w:rFonts w:ascii="EB Garamond" w:hAnsi="EB Garamond" w:cs="EB Garamond"/>
          <w:b/>
          <w:i w:val="0"/>
          <w:color w:val="26282E"/>
          <w:sz w:val="21"/>
        </w:rPr>
        <w:t>30 days of occupation converts a squatter into a "tenant"</w:t>
      </w:r>
      <w:r>
        <w:rPr>
          <w:rFonts w:ascii="EB Garamond" w:hAnsi="EB Garamond" w:cs="EB Garamond"/>
          <w:b w:val="0"/>
          <w:i w:val="0"/>
          <w:color w:val="26282E"/>
          <w:sz w:val="21"/>
        </w:rPr>
        <w:t xml:space="preserve"> whom police will not remove. In fact, the 30-day figure comes from the definition of </w:t>
      </w:r>
      <w:r>
        <w:rPr>
          <w:rFonts w:ascii="EB Garamond" w:hAnsi="EB Garamond" w:cs="EB Garamond"/>
          <w:b w:val="0"/>
          <w:i/>
          <w:color w:val="26282E"/>
          <w:sz w:val="21"/>
        </w:rPr>
        <w:t>tenant/roommate</w:t>
      </w:r>
      <w:r>
        <w:rPr>
          <w:rFonts w:ascii="EB Garamond" w:hAnsi="EB Garamond" w:cs="EB Garamond"/>
          <w:b w:val="0"/>
          <w:i w:val="0"/>
          <w:color w:val="26282E"/>
          <w:sz w:val="21"/>
        </w:rPr>
        <w:t xml:space="preserve"> status in RPAPL § 711 (possession 30 consecutive days → removable only by court process), while squatters have long been removable under § 713(3) (ten-day notice to quit) — a distinction courts already drew (</w:t>
      </w:r>
      <w:r>
        <w:rPr>
          <w:rFonts w:ascii="EB Garamond" w:hAnsi="EB Garamond" w:cs="EB Garamond"/>
          <w:b w:val="0"/>
          <w:i/>
          <w:color w:val="26282E"/>
          <w:sz w:val="21"/>
        </w:rPr>
        <w:t>Paulino v. Wright</w:t>
      </w:r>
      <w:r>
        <w:rPr>
          <w:rFonts w:ascii="EB Garamond" w:hAnsi="EB Garamond" w:cs="EB Garamond"/>
          <w:b w:val="0"/>
          <w:i w:val="0"/>
          <w:color w:val="26282E"/>
          <w:sz w:val="21"/>
        </w:rPr>
        <w:t xml:space="preserve">). Media/political pressure produced the </w:t>
      </w:r>
      <w:r>
        <w:rPr>
          <w:rFonts w:ascii="EB Garamond" w:hAnsi="EB Garamond" w:cs="EB Garamond"/>
          <w:b/>
          <w:i w:val="0"/>
          <w:color w:val="26282E"/>
          <w:sz w:val="21"/>
        </w:rPr>
        <w:t>FY 2025 budget fix signed by Gov. Hochul on April 20, 2024</w:t>
      </w:r>
      <w:r>
        <w:rPr>
          <w:rFonts w:ascii="EB Garamond" w:hAnsi="EB Garamond" w:cs="EB Garamond"/>
          <w:b w:val="0"/>
          <w:i w:val="0"/>
          <w:color w:val="26282E"/>
          <w:sz w:val="21"/>
        </w:rPr>
        <w:t>: RPAPL § 711 was amended to state "</w:t>
      </w:r>
      <w:r>
        <w:rPr>
          <w:rFonts w:ascii="EB Garamond" w:hAnsi="EB Garamond" w:cs="EB Garamond"/>
          <w:b/>
          <w:i w:val="0"/>
          <w:color w:val="26282E"/>
          <w:sz w:val="21"/>
        </w:rPr>
        <w:t>A tenant shall not include a squatter</w:t>
      </w:r>
      <w:r>
        <w:rPr>
          <w:rFonts w:ascii="EB Garamond" w:hAnsi="EB Garamond" w:cs="EB Garamond"/>
          <w:b w:val="0"/>
          <w:i w:val="0"/>
          <w:color w:val="26282E"/>
          <w:sz w:val="21"/>
        </w:rPr>
        <w:t xml:space="preserve">," defining a squatter as one "who enters onto or intrudes upon real property without the permission of the person entitled to possession, and continues to occupy the property without title, right or permission," with § 713 controlling in conflicts. Companion bill S8866–S8869 (self-help eviction carve-outs, law-enforcement removal, criminal-trespass clarification) were introduced but </w:t>
      </w:r>
      <w:r>
        <w:rPr>
          <w:rFonts w:ascii="EB Garamond" w:hAnsi="EB Garamond" w:cs="EB Garamond"/>
          <w:b/>
          <w:i w:val="0"/>
          <w:color w:val="26282E"/>
          <w:sz w:val="21"/>
        </w:rPr>
        <w:t>not</w:t>
      </w:r>
      <w:r>
        <w:rPr>
          <w:rFonts w:ascii="EB Garamond" w:hAnsi="EB Garamond" w:cs="EB Garamond"/>
          <w:b w:val="0"/>
          <w:i w:val="0"/>
          <w:color w:val="26282E"/>
          <w:sz w:val="21"/>
        </w:rPr>
        <w:t xml:space="preserve"> enacted as of writing. </w:t>
      </w:r>
      <w:r>
        <w:rPr>
          <w:rFonts w:ascii="EB Garamond" w:hAnsi="EB Garamond" w:cs="EB Garamond"/>
          <w:b/>
          <w:i w:val="0"/>
          <w:color w:val="26282E"/>
          <w:sz w:val="21"/>
        </w:rPr>
        <w:t>Key exhibit point:</w:t>
      </w:r>
      <w:r>
        <w:rPr>
          <w:rFonts w:ascii="EB Garamond" w:hAnsi="EB Garamond" w:cs="EB Garamond"/>
          <w:b w:val="0"/>
          <w:i w:val="0"/>
          <w:color w:val="26282E"/>
          <w:sz w:val="21"/>
        </w:rPr>
        <w:t xml:space="preserve"> the 2024 amendment changed </w:t>
      </w:r>
      <w:r>
        <w:rPr>
          <w:rFonts w:ascii="EB Garamond" w:hAnsi="EB Garamond" w:cs="EB Garamond"/>
          <w:b/>
          <w:i w:val="0"/>
          <w:color w:val="26282E"/>
          <w:sz w:val="21"/>
        </w:rPr>
        <w:t>eviction procedure only</w:t>
      </w:r>
      <w:r>
        <w:rPr>
          <w:rFonts w:ascii="EB Garamond" w:hAnsi="EB Garamond" w:cs="EB Garamond"/>
          <w:b w:val="0"/>
          <w:i w:val="0"/>
          <w:color w:val="26282E"/>
          <w:sz w:val="21"/>
        </w:rPr>
        <w:t xml:space="preserve"> — it did not touch the 10-year RPAPL Article 5 requirements for acquiring title by adverse possession, which remain as amended in 2008.</w:t>
      </w:r>
    </w:p>
    <w:p>
      <w:pPr>
        <w:keepNext/>
      </w:pPr>
      <w:r>
        <w:rPr>
          <w:rFonts w:ascii="EB Garamond" w:hAnsi="EB Garamond" w:cs="EB Garamond"/>
          <w:b/>
          <w:i w:val="0"/>
          <w:color w:val="B54E1F"/>
          <w:sz w:val="23"/>
        </w:rPr>
        <w:t>2.2 Seditious conspiracy — 18 U.S.C. § 2384</w:t>
      </w:r>
    </w:p>
    <w:p>
      <w:pPr>
        <w:jc w:val="both"/>
      </w:pPr>
      <w:r>
        <w:rPr>
          <w:rFonts w:ascii="EB Garamond" w:hAnsi="EB Garamond" w:cs="EB Garamond"/>
          <w:b/>
          <w:i w:val="0"/>
          <w:color w:val="26282E"/>
          <w:sz w:val="21"/>
        </w:rPr>
        <w:t>Text/elements.</w:t>
      </w:r>
      <w:r>
        <w:rPr>
          <w:rFonts w:ascii="EB Garamond" w:hAnsi="EB Garamond" w:cs="EB Garamond"/>
          <w:b w:val="0"/>
          <w:i w:val="0"/>
          <w:color w:val="26282E"/>
          <w:sz w:val="21"/>
        </w:rPr>
        <w:t xml:space="preserve"> "If two or more persons in any State or Territory, or in any place subject to the jurisdiction of the United States, conspire </w:t>
      </w:r>
      <w:r>
        <w:rPr>
          <w:rFonts w:ascii="EB Garamond" w:hAnsi="EB Garamond" w:cs="EB Garamond"/>
          <w:b/>
          <w:i w:val="0"/>
          <w:color w:val="26282E"/>
          <w:sz w:val="21"/>
        </w:rPr>
        <w:t>to overthrow, put down, or to destroy by force</w:t>
      </w:r>
      <w:r>
        <w:rPr>
          <w:rFonts w:ascii="EB Garamond" w:hAnsi="EB Garamond" w:cs="EB Garamond"/>
          <w:b w:val="0"/>
          <w:i w:val="0"/>
          <w:color w:val="26282E"/>
          <w:sz w:val="21"/>
        </w:rPr>
        <w:t xml:space="preserve"> the Government of the United States, or </w:t>
      </w:r>
      <w:r>
        <w:rPr>
          <w:rFonts w:ascii="EB Garamond" w:hAnsi="EB Garamond" w:cs="EB Garamond"/>
          <w:b/>
          <w:i w:val="0"/>
          <w:color w:val="26282E"/>
          <w:sz w:val="21"/>
        </w:rPr>
        <w:t>to levy war</w:t>
      </w:r>
      <w:r>
        <w:rPr>
          <w:rFonts w:ascii="EB Garamond" w:hAnsi="EB Garamond" w:cs="EB Garamond"/>
          <w:b w:val="0"/>
          <w:i w:val="0"/>
          <w:color w:val="26282E"/>
          <w:sz w:val="21"/>
        </w:rPr>
        <w:t xml:space="preserve"> against them, or </w:t>
      </w:r>
      <w:r>
        <w:rPr>
          <w:rFonts w:ascii="EB Garamond" w:hAnsi="EB Garamond" w:cs="EB Garamond"/>
          <w:b/>
          <w:i w:val="0"/>
          <w:color w:val="26282E"/>
          <w:sz w:val="21"/>
        </w:rPr>
        <w:t>to oppose by force the authority thereof</w:t>
      </w:r>
      <w:r>
        <w:rPr>
          <w:rFonts w:ascii="EB Garamond" w:hAnsi="EB Garamond" w:cs="EB Garamond"/>
          <w:b w:val="0"/>
          <w:i w:val="0"/>
          <w:color w:val="26282E"/>
          <w:sz w:val="21"/>
        </w:rPr>
        <w:t xml:space="preserve">, or </w:t>
      </w:r>
      <w:r>
        <w:rPr>
          <w:rFonts w:ascii="EB Garamond" w:hAnsi="EB Garamond" w:cs="EB Garamond"/>
          <w:b/>
          <w:i w:val="0"/>
          <w:color w:val="26282E"/>
          <w:sz w:val="21"/>
        </w:rPr>
        <w:t>by force to prevent, hinder, or delay the execution of any law</w:t>
      </w:r>
      <w:r>
        <w:rPr>
          <w:rFonts w:ascii="EB Garamond" w:hAnsi="EB Garamond" w:cs="EB Garamond"/>
          <w:b w:val="0"/>
          <w:i w:val="0"/>
          <w:color w:val="26282E"/>
          <w:sz w:val="21"/>
        </w:rPr>
        <w:t xml:space="preserve"> of the United States, or </w:t>
      </w:r>
      <w:r>
        <w:rPr>
          <w:rFonts w:ascii="EB Garamond" w:hAnsi="EB Garamond" w:cs="EB Garamond"/>
          <w:b/>
          <w:i w:val="0"/>
          <w:color w:val="26282E"/>
          <w:sz w:val="21"/>
        </w:rPr>
        <w:t>by force to seize, take, or possess any property</w:t>
      </w:r>
      <w:r>
        <w:rPr>
          <w:rFonts w:ascii="EB Garamond" w:hAnsi="EB Garamond" w:cs="EB Garamond"/>
          <w:b w:val="0"/>
          <w:i w:val="0"/>
          <w:color w:val="26282E"/>
          <w:sz w:val="21"/>
        </w:rPr>
        <w:t xml:space="preserve"> of the United States contrary to the authority thereof, they shall each be fined under this title or imprisoned </w:t>
      </w:r>
      <w:r>
        <w:rPr>
          <w:rFonts w:ascii="EB Garamond" w:hAnsi="EB Garamond" w:cs="EB Garamond"/>
          <w:b/>
          <w:i w:val="0"/>
          <w:color w:val="26282E"/>
          <w:sz w:val="21"/>
        </w:rPr>
        <w:t>not more than twenty years</w:t>
      </w:r>
      <w:r>
        <w:rPr>
          <w:rFonts w:ascii="EB Garamond" w:hAnsi="EB Garamond" w:cs="EB Garamond"/>
          <w:b w:val="0"/>
          <w:i w:val="0"/>
          <w:color w:val="26282E"/>
          <w:sz w:val="21"/>
        </w:rPr>
        <w:t>, or both." (18 U.S.C. § 2384; enacted 1861, ch. 100; current ch. 115.) Elements per standard jury instructions (</w:t>
      </w:r>
      <w:r>
        <w:rPr>
          <w:rFonts w:ascii="EB Garamond" w:hAnsi="EB Garamond" w:cs="EB Garamond"/>
          <w:b w:val="0"/>
          <w:i/>
          <w:color w:val="26282E"/>
          <w:sz w:val="21"/>
        </w:rPr>
        <w:t>U.S. v. Abdel Rahman</w:t>
      </w:r>
      <w:r>
        <w:rPr>
          <w:rFonts w:ascii="EB Garamond" w:hAnsi="EB Garamond" w:cs="EB Garamond"/>
          <w:b w:val="0"/>
          <w:i w:val="0"/>
          <w:color w:val="26282E"/>
          <w:sz w:val="21"/>
        </w:rPr>
        <w:t xml:space="preserve">, S.D.N.Y. 1995; D.D.C. 2022 instructions): (1) two or more persons </w:t>
      </w:r>
      <w:r>
        <w:rPr>
          <w:rFonts w:ascii="EB Garamond" w:hAnsi="EB Garamond" w:cs="EB Garamond"/>
          <w:b/>
          <w:i w:val="0"/>
          <w:color w:val="26282E"/>
          <w:sz w:val="21"/>
        </w:rPr>
        <w:t>agreed</w:t>
      </w:r>
      <w:r>
        <w:rPr>
          <w:rFonts w:ascii="EB Garamond" w:hAnsi="EB Garamond" w:cs="EB Garamond"/>
          <w:b w:val="0"/>
          <w:i w:val="0"/>
          <w:color w:val="26282E"/>
          <w:sz w:val="21"/>
        </w:rPr>
        <w:t xml:space="preserve"> to accomplish one of the statutory objects; (2) the conspiracy was formed or pursued in the U.S. or a place subject to its jurisdiction; (3) the defendant </w:t>
      </w:r>
      <w:r>
        <w:rPr>
          <w:rFonts w:ascii="EB Garamond" w:hAnsi="EB Garamond" w:cs="EB Garamond"/>
          <w:b/>
          <w:i w:val="0"/>
          <w:color w:val="26282E"/>
          <w:sz w:val="21"/>
        </w:rPr>
        <w:t>knowingly joined</w:t>
      </w:r>
      <w:r>
        <w:rPr>
          <w:rFonts w:ascii="EB Garamond" w:hAnsi="EB Garamond" w:cs="EB Garamond"/>
          <w:b w:val="0"/>
          <w:i w:val="0"/>
          <w:color w:val="26282E"/>
          <w:sz w:val="21"/>
        </w:rPr>
        <w:t xml:space="preserve"> with intent to further the unlawful object. </w:t>
      </w:r>
      <w:r>
        <w:rPr>
          <w:rFonts w:ascii="EB Garamond" w:hAnsi="EB Garamond" w:cs="EB Garamond"/>
          <w:b/>
          <w:i w:val="0"/>
          <w:color w:val="26282E"/>
          <w:sz w:val="21"/>
        </w:rPr>
        <w:t>No overt act need be proved</w:t>
      </w:r>
      <w:r>
        <w:rPr>
          <w:rFonts w:ascii="EB Garamond" w:hAnsi="EB Garamond" w:cs="EB Garamond"/>
          <w:b w:val="0"/>
          <w:i w:val="0"/>
          <w:color w:val="26282E"/>
          <w:sz w:val="21"/>
        </w:rPr>
        <w:t xml:space="preserve"> (unlike § 372 or ordinary § 371 conspiracies charged with an overt-act requirement), and </w:t>
      </w:r>
      <w:r>
        <w:rPr>
          <w:rFonts w:ascii="EB Garamond" w:hAnsi="EB Garamond" w:cs="EB Garamond"/>
          <w:b/>
          <w:i w:val="0"/>
          <w:color w:val="26282E"/>
          <w:sz w:val="21"/>
        </w:rPr>
        <w:t>success is irrelevant</w:t>
      </w:r>
      <w:r>
        <w:rPr>
          <w:rFonts w:ascii="EB Garamond" w:hAnsi="EB Garamond" w:cs="EB Garamond"/>
          <w:b w:val="0"/>
          <w:i w:val="0"/>
          <w:color w:val="26282E"/>
          <w:sz w:val="21"/>
        </w:rPr>
        <w:t xml:space="preserve"> — the agreement itself is the crime; force is an ingredient of the object, not of its execution. The statute survives First Amendment challenge because it punishes agreements to use </w:t>
      </w:r>
      <w:r>
        <w:rPr>
          <w:rFonts w:ascii="EB Garamond" w:hAnsi="EB Garamond" w:cs="EB Garamond"/>
          <w:b/>
          <w:i w:val="0"/>
          <w:color w:val="26282E"/>
          <w:sz w:val="21"/>
        </w:rPr>
        <w:t>force</w:t>
      </w:r>
      <w:r>
        <w:rPr>
          <w:rFonts w:ascii="EB Garamond" w:hAnsi="EB Garamond" w:cs="EB Garamond"/>
          <w:b w:val="0"/>
          <w:i w:val="0"/>
          <w:color w:val="26282E"/>
          <w:sz w:val="21"/>
        </w:rPr>
        <w:t>, not advocacy (</w:t>
      </w:r>
      <w:r>
        <w:rPr>
          <w:rFonts w:ascii="EB Garamond" w:hAnsi="EB Garamond" w:cs="EB Garamond"/>
          <w:b w:val="0"/>
          <w:i/>
          <w:color w:val="26282E"/>
          <w:sz w:val="21"/>
        </w:rPr>
        <w:t>United States v. Rahman</w:t>
      </w:r>
      <w:r>
        <w:rPr>
          <w:rFonts w:ascii="EB Garamond" w:hAnsi="EB Garamond" w:cs="EB Garamond"/>
          <w:b w:val="0"/>
          <w:i w:val="0"/>
          <w:color w:val="26282E"/>
          <w:sz w:val="21"/>
        </w:rPr>
        <w:t xml:space="preserve">, 189 F.3d 88, 124–32 (2d Cir. 1999), applying </w:t>
      </w:r>
      <w:r>
        <w:rPr>
          <w:rFonts w:ascii="EB Garamond" w:hAnsi="EB Garamond" w:cs="EB Garamond"/>
          <w:b w:val="0"/>
          <w:i/>
          <w:color w:val="26282E"/>
          <w:sz w:val="21"/>
        </w:rPr>
        <w:t>Brandenburg v. Ohio</w:t>
      </w:r>
      <w:r>
        <w:rPr>
          <w:rFonts w:ascii="EB Garamond" w:hAnsi="EB Garamond" w:cs="EB Garamond"/>
          <w:b w:val="0"/>
          <w:i w:val="0"/>
          <w:color w:val="26282E"/>
          <w:sz w:val="21"/>
        </w:rPr>
        <w:t>); "oppose by force" requires force against the government's authority, not mere opposition to particular officials (</w:t>
      </w:r>
      <w:r>
        <w:rPr>
          <w:rFonts w:ascii="EB Garamond" w:hAnsi="EB Garamond" w:cs="EB Garamond"/>
          <w:b w:val="0"/>
          <w:i/>
          <w:color w:val="26282E"/>
          <w:sz w:val="21"/>
        </w:rPr>
        <w:t>U.S. v. Rodriguez</w:t>
      </w:r>
      <w:r>
        <w:rPr>
          <w:rFonts w:ascii="EB Garamond" w:hAnsi="EB Garamond" w:cs="EB Garamond"/>
          <w:b w:val="0"/>
          <w:i w:val="0"/>
          <w:color w:val="26282E"/>
          <w:sz w:val="21"/>
        </w:rPr>
        <w:t>, 803 F.2d 318 (7th Cir. 1986) — Treason Clause does not limit § 2384).</w:t>
      </w:r>
    </w:p>
    <w:p>
      <w:pPr>
        <w:jc w:val="both"/>
      </w:pPr>
      <w:r>
        <w:rPr>
          <w:rFonts w:ascii="EB Garamond" w:hAnsi="EB Garamond" w:cs="EB Garamond"/>
          <w:b/>
          <w:i w:val="0"/>
          <w:color w:val="26282E"/>
          <w:sz w:val="21"/>
        </w:rPr>
        <w:t>Modern applications.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United States v. Rhodes</w:t>
      </w:r>
      <w:r>
        <w:rPr>
          <w:rFonts w:ascii="EB Garamond" w:hAnsi="EB Garamond" w:cs="EB Garamond"/>
          <w:b w:val="0"/>
          <w:i w:val="0"/>
          <w:color w:val="26282E"/>
          <w:sz w:val="21"/>
        </w:rPr>
        <w:t xml:space="preserve"> (Oath Keepers), D.D.C. No. 22-cr-15 (APM).** Nov. 29, 2022: founder</w:t>
      </w:r>
    </w:p>
    <w:p>
      <w:pPr>
        <w:jc w:val="both"/>
      </w:pPr>
      <w:r>
        <w:rPr>
          <w:rFonts w:ascii="EB Garamond" w:hAnsi="EB Garamond" w:cs="EB Garamond"/>
          <w:b w:val="0"/>
          <w:i w:val="0"/>
          <w:color w:val="26282E"/>
          <w:sz w:val="21"/>
        </w:rPr>
        <w:t xml:space="preserve">Stewart Rhodes and Florida chapter leader Kelly Meggs — </w:t>
      </w:r>
      <w:r>
        <w:rPr>
          <w:rFonts w:ascii="EB Garamond" w:hAnsi="EB Garamond" w:cs="EB Garamond"/>
          <w:b/>
          <w:i w:val="0"/>
          <w:color w:val="26282E"/>
          <w:sz w:val="21"/>
        </w:rPr>
        <w:t>first seditious-conspiracy convictions in decades</w:t>
      </w:r>
      <w:r>
        <w:rPr>
          <w:rFonts w:ascii="EB Garamond" w:hAnsi="EB Garamond" w:cs="EB Garamond"/>
          <w:b w:val="0"/>
          <w:i w:val="0"/>
          <w:color w:val="26282E"/>
          <w:sz w:val="21"/>
        </w:rPr>
        <w:t xml:space="preserve"> — plus Harrelson, Watkins, and Caldwell at a second trial; jury special verdict found the objects "to oppose by force the authority of the Government of the United States" and "to use force to prevent, hinder, or delay the execution of any law." Rhodes sentenced to 18 years (Sept. 2023) with a domestic-terrorism enhancement; sentences later partially reduced before the 2025 commutations.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United States v. Tarrio</w:t>
      </w:r>
      <w:r>
        <w:rPr>
          <w:rFonts w:ascii="EB Garamond" w:hAnsi="EB Garamond" w:cs="EB Garamond"/>
          <w:b w:val="0"/>
          <w:i w:val="0"/>
          <w:color w:val="26282E"/>
          <w:sz w:val="21"/>
        </w:rPr>
        <w:t xml:space="preserve"> (Proud Boys), D.D.C. No. 21-cr-175 (TJK).** May 4, 2023: Enrique</w:t>
      </w:r>
    </w:p>
    <w:p>
      <w:pPr>
        <w:jc w:val="both"/>
      </w:pPr>
      <w:r>
        <w:rPr>
          <w:rFonts w:ascii="EB Garamond" w:hAnsi="EB Garamond" w:cs="EB Garamond"/>
          <w:b w:val="0"/>
          <w:i w:val="0"/>
          <w:color w:val="26282E"/>
          <w:sz w:val="21"/>
        </w:rPr>
        <w:t>Tarrio, Ethan Nordean, Joseph Biggs, and Zachary Rehl convicted of seditious conspiracy (Pezzola acquitted of sedition, convicted of other felonies) — the third J6 sedition trial; charges survived dismissal motions (</w:t>
      </w:r>
      <w:r>
        <w:rPr>
          <w:rFonts w:ascii="EB Garamond" w:hAnsi="EB Garamond" w:cs="EB Garamond"/>
          <w:b w:val="0"/>
          <w:i/>
          <w:color w:val="26282E"/>
          <w:sz w:val="21"/>
        </w:rPr>
        <w:t>U.S. v. Nordean</w:t>
      </w:r>
      <w:r>
        <w:rPr>
          <w:rFonts w:ascii="EB Garamond" w:hAnsi="EB Garamond" w:cs="EB Garamond"/>
          <w:b w:val="0"/>
          <w:i w:val="0"/>
          <w:color w:val="26282E"/>
          <w:sz w:val="21"/>
        </w:rPr>
        <w:t xml:space="preserve">, 602 F. Supp. 3d 24 (D.D.C. 2022): the "authority" and "execution" clauses cover conspiracies to obstruct the Twelfth Amendment/Electoral Count Act count </w:t>
      </w:r>
      <w:r>
        <w:rPr>
          <w:rFonts w:ascii="EB Garamond" w:hAnsi="EB Garamond" w:cs="EB Garamond"/>
          <w:b/>
          <w:i w:val="0"/>
          <w:color w:val="26282E"/>
          <w:sz w:val="21"/>
        </w:rPr>
        <w:t>wholesale</w:t>
      </w:r>
      <w:r>
        <w:rPr>
          <w:rFonts w:ascii="EB Garamond" w:hAnsi="EB Garamond" w:cs="EB Garamond"/>
          <w:b w:val="0"/>
          <w:i w:val="0"/>
          <w:color w:val="26282E"/>
          <w:sz w:val="21"/>
        </w:rPr>
        <w:t>, which is effectively their only application).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Whitmer-kidnapping plot</w:t>
      </w:r>
      <w:r>
        <w:rPr>
          <w:rFonts w:ascii="EB Garamond" w:hAnsi="EB Garamond" w:cs="EB Garamond"/>
          <w:b w:val="0"/>
          <w:i w:val="0"/>
          <w:color w:val="26282E"/>
          <w:sz w:val="21"/>
        </w:rPr>
        <w:t xml:space="preserve"> (2020).** Charged under 18 U.S.C. § 1201(c) (kidnapping conspiracy)</w:t>
      </w:r>
    </w:p>
    <w:p>
      <w:pPr>
        <w:jc w:val="both"/>
      </w:pPr>
      <w:r>
        <w:rPr>
          <w:rFonts w:ascii="EB Garamond" w:hAnsi="EB Garamond" w:cs="EB Garamond"/>
          <w:b w:val="0"/>
          <w:i w:val="0"/>
          <w:color w:val="26282E"/>
          <w:sz w:val="21"/>
        </w:rPr>
        <w:t xml:space="preserve">and § 2332a (WMD) — </w:t>
      </w:r>
      <w:r>
        <w:rPr>
          <w:rFonts w:ascii="EB Garamond" w:hAnsi="EB Garamond" w:cs="EB Garamond"/>
          <w:b/>
          <w:i w:val="0"/>
          <w:color w:val="26282E"/>
          <w:sz w:val="21"/>
        </w:rPr>
        <w:t>not</w:t>
      </w:r>
      <w:r>
        <w:rPr>
          <w:rFonts w:ascii="EB Garamond" w:hAnsi="EB Garamond" w:cs="EB Garamond"/>
          <w:b w:val="0"/>
          <w:i w:val="0"/>
          <w:color w:val="26282E"/>
          <w:sz w:val="21"/>
        </w:rPr>
        <w:t xml:space="preserve"> § 2384, a point exhibits often get wrong. Ty Garbin and Kaleb Franks pleaded guilty; Daniel Harris and Brandon Caserta were </w:t>
      </w:r>
      <w:r>
        <w:rPr>
          <w:rFonts w:ascii="EB Garamond" w:hAnsi="EB Garamond" w:cs="EB Garamond"/>
          <w:b/>
          <w:i w:val="0"/>
          <w:color w:val="26282E"/>
          <w:sz w:val="21"/>
        </w:rPr>
        <w:t>acquitted</w:t>
      </w:r>
      <w:r>
        <w:rPr>
          <w:rFonts w:ascii="EB Garamond" w:hAnsi="EB Garamond" w:cs="EB Garamond"/>
          <w:b w:val="0"/>
          <w:i w:val="0"/>
          <w:color w:val="26282E"/>
          <w:sz w:val="21"/>
        </w:rPr>
        <w:t xml:space="preserve"> (Apr. 8, 2022); Adam Fox and Barry Croft hung at trial one, were convicted at retrial (Aug. 23, 2022; Fox 16 yrs, Croft 19⅔ yrs, affirmed 6th Cir. 2025); separate Michigan state convictions (Bellar, Morrison, Musico) were later overturned on appeal (2026). The plot shows the seditious-agreement pattern without a § 2384 charge.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History/rarity.</w:t>
      </w:r>
      <w:r>
        <w:rPr>
          <w:rFonts w:ascii="EB Garamond" w:hAnsi="EB Garamond" w:cs="EB Garamond"/>
          <w:b w:val="0"/>
          <w:i w:val="0"/>
          <w:color w:val="26282E"/>
          <w:sz w:val="21"/>
        </w:rPr>
        <w:t xml:space="preserve"> Enacted 1861; used against Confederate irregulars and the 1943 </w:t>
      </w:r>
      <w:r>
        <w:rPr>
          <w:rFonts w:ascii="EB Garamond" w:hAnsi="EB Garamond" w:cs="EB Garamond"/>
          <w:b w:val="0"/>
          <w:i/>
          <w:color w:val="26282E"/>
          <w:sz w:val="21"/>
        </w:rPr>
        <w:t>Haupt</w:t>
      </w:r>
    </w:p>
    <w:p>
      <w:pPr>
        <w:jc w:val="both"/>
      </w:pPr>
      <w:r>
        <w:rPr>
          <w:rFonts w:ascii="EB Garamond" w:hAnsi="EB Garamond" w:cs="EB Garamond"/>
          <w:b w:val="0"/>
          <w:i w:val="0"/>
          <w:color w:val="26282E"/>
          <w:sz w:val="21"/>
        </w:rPr>
        <w:t xml:space="preserve">Nazi-sabotage-era prosecutions; ~1950s </w:t>
      </w:r>
      <w:r>
        <w:rPr>
          <w:rFonts w:ascii="EB Garamond" w:hAnsi="EB Garamond" w:cs="EB Garamond"/>
          <w:b w:val="0"/>
          <w:i/>
          <w:color w:val="26282E"/>
          <w:sz w:val="21"/>
        </w:rPr>
        <w:t>Lebron/Rahman</w:t>
      </w:r>
      <w:r>
        <w:rPr>
          <w:rFonts w:ascii="EB Garamond" w:hAnsi="EB Garamond" w:cs="EB Garamond"/>
          <w:b w:val="0"/>
          <w:i w:val="0"/>
          <w:color w:val="26282E"/>
          <w:sz w:val="21"/>
        </w:rPr>
        <w:t xml:space="preserve"> prosecutions; then decades of disuse until January 6 — roughly </w:t>
      </w:r>
      <w:r>
        <w:rPr>
          <w:rFonts w:ascii="EB Garamond" w:hAnsi="EB Garamond" w:cs="EB Garamond"/>
          <w:b/>
          <w:i w:val="0"/>
          <w:color w:val="26282E"/>
          <w:sz w:val="21"/>
        </w:rPr>
        <w:t>a dozen federal defendants total convicted of § 2384</w:t>
      </w:r>
      <w:r>
        <w:rPr>
          <w:rFonts w:ascii="EB Garamond" w:hAnsi="EB Garamond" w:cs="EB Garamond"/>
          <w:b w:val="0"/>
          <w:i w:val="0"/>
          <w:color w:val="26282E"/>
          <w:sz w:val="21"/>
        </w:rPr>
        <w:t xml:space="preserve"> since WWII before the 2022 verdicts. The AP's characterization ("rarely used Civil War-era charge") is the consensus.</w:t>
      </w:r>
    </w:p>
    <w:p>
      <w:pPr>
        <w:keepNext/>
      </w:pPr>
      <w:r>
        <w:rPr>
          <w:rFonts w:ascii="EB Garamond" w:hAnsi="EB Garamond" w:cs="EB Garamond"/>
          <w:b/>
          <w:i w:val="0"/>
          <w:color w:val="B54E1F"/>
          <w:sz w:val="23"/>
        </w:rPr>
        <w:t>2.3 Treason — U.S. Const. art. III, § 3</w:t>
      </w:r>
    </w:p>
    <w:p>
      <w:pPr>
        <w:jc w:val="both"/>
      </w:pPr>
      <w:r>
        <w:rPr>
          <w:rFonts w:ascii="EB Garamond" w:hAnsi="EB Garamond" w:cs="EB Garamond"/>
          <w:b/>
          <w:i w:val="0"/>
          <w:color w:val="26282E"/>
          <w:sz w:val="21"/>
        </w:rPr>
        <w:t>Text.</w:t>
      </w:r>
      <w:r>
        <w:rPr>
          <w:rFonts w:ascii="EB Garamond" w:hAnsi="EB Garamond" w:cs="EB Garamond"/>
          <w:b w:val="0"/>
          <w:i w:val="0"/>
          <w:color w:val="26282E"/>
          <w:sz w:val="21"/>
        </w:rPr>
        <w:t xml:space="preserve"> "Treason against the United States, shall consist </w:t>
      </w:r>
      <w:r>
        <w:rPr>
          <w:rFonts w:ascii="EB Garamond" w:hAnsi="EB Garamond" w:cs="EB Garamond"/>
          <w:b/>
          <w:i w:val="0"/>
          <w:color w:val="26282E"/>
          <w:sz w:val="21"/>
        </w:rPr>
        <w:t>only</w:t>
      </w:r>
      <w:r>
        <w:rPr>
          <w:rFonts w:ascii="EB Garamond" w:hAnsi="EB Garamond" w:cs="EB Garamond"/>
          <w:b w:val="0"/>
          <w:i w:val="0"/>
          <w:color w:val="26282E"/>
          <w:sz w:val="21"/>
        </w:rPr>
        <w:t xml:space="preserve"> in levying War against them, or in adhering to their Enemies, giving them Aid and Comfort. No Person shall be convicted of Treason unless on the </w:t>
      </w:r>
      <w:r>
        <w:rPr>
          <w:rFonts w:ascii="EB Garamond" w:hAnsi="EB Garamond" w:cs="EB Garamond"/>
          <w:b/>
          <w:i w:val="0"/>
          <w:color w:val="26282E"/>
          <w:sz w:val="21"/>
        </w:rPr>
        <w:t>testimony of two Witnesses to the same overt Act</w:t>
      </w:r>
      <w:r>
        <w:rPr>
          <w:rFonts w:ascii="EB Garamond" w:hAnsi="EB Garamond" w:cs="EB Garamond"/>
          <w:b w:val="0"/>
          <w:i w:val="0"/>
          <w:color w:val="26282E"/>
          <w:sz w:val="21"/>
        </w:rPr>
        <w:t xml:space="preserve">, or on </w:t>
      </w:r>
      <w:r>
        <w:rPr>
          <w:rFonts w:ascii="EB Garamond" w:hAnsi="EB Garamond" w:cs="EB Garamond"/>
          <w:b/>
          <w:i w:val="0"/>
          <w:color w:val="26282E"/>
          <w:sz w:val="21"/>
        </w:rPr>
        <w:t>Confession in open Court</w:t>
      </w:r>
      <w:r>
        <w:rPr>
          <w:rFonts w:ascii="EB Garamond" w:hAnsi="EB Garamond" w:cs="EB Garamond"/>
          <w:b w:val="0"/>
          <w:i w:val="0"/>
          <w:color w:val="26282E"/>
          <w:sz w:val="21"/>
        </w:rPr>
        <w:t>. The Congress shall have Power to declare the Punishment of Treason, but no Attainder of Treason shall work Corruption of Blood, or Forfeiture except during the Life of the Person attainted."</w:t>
      </w:r>
    </w:p>
    <w:p>
      <w:pPr>
        <w:jc w:val="both"/>
      </w:pPr>
      <w:r>
        <w:rPr>
          <w:rFonts w:ascii="EB Garamond" w:hAnsi="EB Garamond" w:cs="EB Garamond"/>
          <w:b/>
          <w:i w:val="0"/>
          <w:color w:val="26282E"/>
          <w:sz w:val="21"/>
        </w:rPr>
        <w:t>Verified doctrine.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Constitution </w:t>
      </w:r>
      <w:r>
        <w:rPr>
          <w:rFonts w:ascii="EB Garamond" w:hAnsi="EB Garamond" w:cs="EB Garamond"/>
          <w:b/>
          <w:i w:val="0"/>
          <w:color w:val="26282E"/>
          <w:sz w:val="21"/>
        </w:rPr>
        <w:t>limits</w:t>
      </w:r>
      <w:r>
        <w:rPr>
          <w:rFonts w:ascii="EB Garamond" w:hAnsi="EB Garamond" w:cs="EB Garamond"/>
          <w:b w:val="0"/>
          <w:i w:val="0"/>
          <w:color w:val="26282E"/>
          <w:sz w:val="21"/>
        </w:rPr>
        <w:t xml:space="preserve"> treason; Congress cannot expand it (</w:t>
      </w:r>
      <w:r>
        <w:rPr>
          <w:rFonts w:ascii="EB Garamond" w:hAnsi="EB Garamond" w:cs="EB Garamond"/>
          <w:b w:val="0"/>
          <w:i/>
          <w:color w:val="26282E"/>
          <w:sz w:val="21"/>
        </w:rPr>
        <w:t>Cramer v. United States</w:t>
      </w:r>
      <w:r>
        <w:rPr>
          <w:rFonts w:ascii="EB Garamond" w:hAnsi="EB Garamond" w:cs="EB Garamond"/>
          <w:b w:val="0"/>
          <w:i w:val="0"/>
          <w:color w:val="26282E"/>
          <w:sz w:val="21"/>
        </w:rPr>
        <w:t>, 325</w:t>
      </w:r>
    </w:p>
    <w:p>
      <w:pPr>
        <w:jc w:val="both"/>
      </w:pPr>
      <w:r>
        <w:rPr>
          <w:rFonts w:ascii="EB Garamond" w:hAnsi="EB Garamond" w:cs="EB Garamond"/>
          <w:b w:val="0"/>
          <w:i w:val="0"/>
          <w:color w:val="26282E"/>
          <w:sz w:val="21"/>
        </w:rPr>
        <w:t xml:space="preserve">U.S. 1 (1945) — "the treason paradigm was written to exclude 'constructive' treasons"); conviction requires proof of the defendant's </w:t>
      </w:r>
      <w:r>
        <w:rPr>
          <w:rFonts w:ascii="EB Garamond" w:hAnsi="EB Garamond" w:cs="EB Garamond"/>
          <w:b/>
          <w:i w:val="0"/>
          <w:color w:val="26282E"/>
          <w:sz w:val="21"/>
        </w:rPr>
        <w:t>own</w:t>
      </w:r>
      <w:r>
        <w:rPr>
          <w:rFonts w:ascii="EB Garamond" w:hAnsi="EB Garamond" w:cs="EB Garamond"/>
          <w:b w:val="0"/>
          <w:i w:val="0"/>
          <w:color w:val="26282E"/>
          <w:sz w:val="21"/>
        </w:rPr>
        <w:t xml:space="preserve"> overt act.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i w:val="0"/>
          <w:color w:val="26282E"/>
          <w:sz w:val="21"/>
        </w:rPr>
        <w:t>Levying war.</w:t>
      </w:r>
      <w:r>
        <w:rPr>
          <w:rFonts w:ascii="EB Garamond" w:hAnsi="EB Garamond" w:cs="EB Garamond"/>
          <w:b w:val="0"/>
          <w:i/>
          <w:color w:val="26282E"/>
          <w:sz w:val="21"/>
        </w:rPr>
        <w:t xml:space="preserve"> </w:t>
      </w:r>
      <w:r>
        <w:rPr>
          <w:rFonts w:ascii="EB Garamond" w:hAnsi="EB Garamond" w:cs="EB Garamond"/>
          <w:b w:val="0"/>
          <w:i w:val="0"/>
          <w:color w:val="26282E"/>
          <w:sz w:val="21"/>
        </w:rPr>
        <w:t>Ex parte Bollman*, 8 U.S. (4 Cranch) 75 (1807) (Marshall, C.J.): assembling</w:t>
      </w:r>
    </w:p>
    <w:p>
      <w:pPr>
        <w:jc w:val="both"/>
      </w:pPr>
      <w:r>
        <w:rPr>
          <w:rFonts w:ascii="EB Garamond" w:hAnsi="EB Garamond" w:cs="EB Garamond"/>
          <w:b w:val="0"/>
          <w:i w:val="0"/>
          <w:color w:val="26282E"/>
          <w:sz w:val="21"/>
        </w:rPr>
        <w:t xml:space="preserve">with intent to overthrow by force can levy war; mere conspiracy to levy war cannot — hence the separate </w:t>
      </w:r>
      <w:r>
        <w:rPr>
          <w:rFonts w:ascii="EB Garamond" w:hAnsi="EB Garamond" w:cs="EB Garamond"/>
          <w:b/>
          <w:i w:val="0"/>
          <w:color w:val="26282E"/>
          <w:sz w:val="21"/>
        </w:rPr>
        <w:t>statutory</w:t>
      </w:r>
      <w:r>
        <w:rPr>
          <w:rFonts w:ascii="EB Garamond" w:hAnsi="EB Garamond" w:cs="EB Garamond"/>
          <w:b w:val="0"/>
          <w:i w:val="0"/>
          <w:color w:val="26282E"/>
          <w:sz w:val="21"/>
        </w:rPr>
        <w:t xml:space="preserve"> crime of seditious conspiracy (§ 2384) to fill the gap.</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i w:val="0"/>
          <w:color w:val="26282E"/>
          <w:sz w:val="21"/>
        </w:rPr>
        <w:t>Aid and comfort</w:t>
      </w:r>
      <w:r>
        <w:rPr>
          <w:rFonts w:ascii="EB Garamond" w:hAnsi="EB Garamond" w:cs="EB Garamond"/>
          <w:b w:val="0"/>
          <w:i/>
          <w:color w:val="26282E"/>
          <w:sz w:val="21"/>
        </w:rPr>
        <w:t xml:space="preserve"> requires an declared </w:t>
      </w:r>
      <w:r>
        <w:rPr>
          <w:rFonts w:ascii="EB Garamond" w:hAnsi="EB Garamond" w:cs="EB Garamond"/>
          <w:b w:val="0"/>
          <w:i/>
          <w:color w:val="26282E"/>
          <w:sz w:val="21"/>
        </w:rPr>
        <w:t>enemy</w:t>
      </w:r>
      <w:r>
        <w:rPr>
          <w:rFonts w:ascii="EB Garamond" w:hAnsi="EB Garamond" w:cs="EB Garamond"/>
          <w:b w:val="0"/>
          <w:i w:val="0"/>
          <w:color w:val="26282E"/>
          <w:sz w:val="21"/>
        </w:rPr>
        <w:t>* (war or legally recognized enemy) and</w:t>
      </w:r>
    </w:p>
    <w:p>
      <w:pPr>
        <w:jc w:val="both"/>
      </w:pPr>
      <w:r>
        <w:rPr>
          <w:rFonts w:ascii="EB Garamond" w:hAnsi="EB Garamond" w:cs="EB Garamond"/>
          <w:b w:val="0"/>
          <w:i w:val="0"/>
          <w:color w:val="26282E"/>
          <w:sz w:val="21"/>
        </w:rPr>
        <w:t xml:space="preserve">overt acts; </w:t>
      </w:r>
      <w:r>
        <w:rPr>
          <w:rFonts w:ascii="EB Garamond" w:hAnsi="EB Garamond" w:cs="EB Garamond"/>
          <w:b w:val="0"/>
          <w:i/>
          <w:color w:val="26282E"/>
          <w:sz w:val="21"/>
        </w:rPr>
        <w:t>Cramer</w:t>
      </w:r>
      <w:r>
        <w:rPr>
          <w:rFonts w:ascii="EB Garamond" w:hAnsi="EB Garamond" w:cs="EB Garamond"/>
          <w:b w:val="0"/>
          <w:i w:val="0"/>
          <w:color w:val="26282E"/>
          <w:sz w:val="21"/>
        </w:rPr>
        <w:t xml:space="preserve"> and </w:t>
      </w:r>
      <w:r>
        <w:rPr>
          <w:rFonts w:ascii="EB Garamond" w:hAnsi="EB Garamond" w:cs="EB Garamond"/>
          <w:b w:val="0"/>
          <w:i/>
          <w:color w:val="26282E"/>
          <w:sz w:val="21"/>
        </w:rPr>
        <w:t>Kawakita v. United States</w:t>
      </w:r>
      <w:r>
        <w:rPr>
          <w:rFonts w:ascii="EB Garamond" w:hAnsi="EB Garamond" w:cs="EB Garamond"/>
          <w:b w:val="0"/>
          <w:i w:val="0"/>
          <w:color w:val="26282E"/>
          <w:sz w:val="21"/>
        </w:rPr>
        <w:t>, 343 U.S. 717 (1952) mark the outer limits.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Rarity.</w:t>
      </w:r>
      <w:r>
        <w:rPr>
          <w:rFonts w:ascii="EB Garamond" w:hAnsi="EB Garamond" w:cs="EB Garamond"/>
          <w:b w:val="0"/>
          <w:i w:val="0"/>
          <w:color w:val="26282E"/>
          <w:sz w:val="21"/>
        </w:rPr>
        <w:t xml:space="preserve"> Federal treason prosecutions are vanishingly rare — the Supreme Court has decided</w:t>
      </w:r>
    </w:p>
    <w:p>
      <w:pPr>
        <w:jc w:val="both"/>
      </w:pPr>
      <w:r>
        <w:rPr>
          <w:rFonts w:ascii="EB Garamond" w:hAnsi="EB Garamond" w:cs="EB Garamond"/>
          <w:b w:val="0"/>
          <w:i w:val="0"/>
          <w:color w:val="26282E"/>
          <w:sz w:val="21"/>
        </w:rPr>
        <w:t xml:space="preserve">only six treason cases in U.S. history; the last federal conviction was </w:t>
      </w:r>
      <w:r>
        <w:rPr>
          <w:rFonts w:ascii="EB Garamond" w:hAnsi="EB Garamond" w:cs="EB Garamond"/>
          <w:b/>
          <w:i w:val="0"/>
          <w:color w:val="26282E"/>
          <w:sz w:val="21"/>
        </w:rPr>
        <w:t>Tokyo Rose / Iva Toguri D'Aquino (1949)</w:t>
      </w:r>
      <w:r>
        <w:rPr>
          <w:rFonts w:ascii="EB Garamond" w:hAnsi="EB Garamond" w:cs="EB Garamond"/>
          <w:b w:val="0"/>
          <w:i w:val="0"/>
          <w:color w:val="26282E"/>
          <w:sz w:val="21"/>
        </w:rPr>
        <w:t xml:space="preserve"> (pardoned 1977); </w:t>
      </w:r>
      <w:r>
        <w:rPr>
          <w:rFonts w:ascii="EB Garamond" w:hAnsi="EB Garamond" w:cs="EB Garamond"/>
          <w:b w:val="0"/>
          <w:i/>
          <w:color w:val="26282E"/>
          <w:sz w:val="21"/>
        </w:rPr>
        <w:t>Kawakita</w:t>
      </w:r>
      <w:r>
        <w:rPr>
          <w:rFonts w:ascii="EB Garamond" w:hAnsi="EB Garamond" w:cs="EB Garamond"/>
          <w:b w:val="0"/>
          <w:i w:val="0"/>
          <w:color w:val="26282E"/>
          <w:sz w:val="21"/>
        </w:rPr>
        <w:t xml:space="preserve"> (1952) was the last Supreme Court treason case. Modern domestic-extremist violence is prosecuted under § 2384, material-support (18 U.S.C. § 2339A/B), and murder/terrorism statutes — </w:t>
      </w:r>
      <w:r>
        <w:rPr>
          <w:rFonts w:ascii="EB Garamond" w:hAnsi="EB Garamond" w:cs="EB Garamond"/>
          <w:b/>
          <w:i w:val="0"/>
          <w:color w:val="26282E"/>
          <w:sz w:val="21"/>
        </w:rPr>
        <w:t>never</w:t>
      </w:r>
      <w:r>
        <w:rPr>
          <w:rFonts w:ascii="EB Garamond" w:hAnsi="EB Garamond" w:cs="EB Garamond"/>
          <w:b w:val="0"/>
          <w:i w:val="0"/>
          <w:color w:val="26282E"/>
          <w:sz w:val="21"/>
        </w:rPr>
        <w:t xml:space="preserve"> Art. III treason, because of the two-witness rule and the "war" requirement.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Penalty.</w:t>
      </w:r>
      <w:r>
        <w:rPr>
          <w:rFonts w:ascii="EB Garamond" w:hAnsi="EB Garamond" w:cs="EB Garamond"/>
          <w:b w:val="0"/>
          <w:i w:val="0"/>
          <w:color w:val="26282E"/>
          <w:sz w:val="21"/>
        </w:rPr>
        <w:t xml:space="preserve"> Congress set the punishment by statute, 18 U.S.C. § 2381: death, or imprisonment</w:t>
      </w:r>
    </w:p>
    <w:p>
      <w:pPr>
        <w:jc w:val="both"/>
      </w:pPr>
      <w:r>
        <w:rPr>
          <w:rFonts w:ascii="EB Garamond" w:hAnsi="EB Garamond" w:cs="EB Garamond"/>
          <w:b/>
          <w:i w:val="0"/>
          <w:color w:val="26282E"/>
          <w:sz w:val="21"/>
        </w:rPr>
        <w:t>not less than five years</w:t>
      </w:r>
      <w:r>
        <w:rPr>
          <w:rFonts w:ascii="EB Garamond" w:hAnsi="EB Garamond" w:cs="EB Garamond"/>
          <w:b w:val="0"/>
          <w:i w:val="0"/>
          <w:color w:val="26282E"/>
          <w:sz w:val="21"/>
        </w:rPr>
        <w:t xml:space="preserve"> and a fine of at least $10,000, plus incapacity to hold office — the exhibit doc's "Death or minimum 5 years" matches § 2381, and its "only crime defined in the Constitution" line is correct.</w:t>
      </w:r>
    </w:p>
    <w:p>
      <w:pPr>
        <w:keepNext/>
      </w:pPr>
      <w:r>
        <w:rPr>
          <w:rFonts w:ascii="EB Garamond" w:hAnsi="EB Garamond" w:cs="EB Garamond"/>
          <w:b/>
          <w:i w:val="0"/>
          <w:color w:val="B54E1F"/>
          <w:sz w:val="23"/>
        </w:rPr>
        <w:t>2.4 L3C — the low-profit limited liability company (nothing exotic)</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What it is:</w:t>
      </w:r>
      <w:r>
        <w:rPr>
          <w:rFonts w:ascii="EB Garamond" w:hAnsi="EB Garamond" w:cs="EB Garamond"/>
          <w:b w:val="0"/>
          <w:i w:val="0"/>
          <w:color w:val="26282E"/>
          <w:sz w:val="21"/>
        </w:rPr>
        <w:t xml:space="preserve"> an ordinary LLC whose articles must state that its </w:t>
      </w:r>
      <w:r>
        <w:rPr>
          <w:rFonts w:ascii="EB Garamond" w:hAnsi="EB Garamond" w:cs="EB Garamond"/>
          <w:b/>
          <w:i w:val="0"/>
          <w:color w:val="26282E"/>
          <w:sz w:val="21"/>
        </w:rPr>
        <w:t>significant purpose</w:t>
      </w:r>
      <w:r>
        <w:rPr>
          <w:rFonts w:ascii="EB Garamond" w:hAnsi="EB Garamond" w:cs="EB Garamond"/>
          <w:b w:val="0"/>
          <w:i w:val="0"/>
          <w:color w:val="26282E"/>
          <w:sz w:val="21"/>
        </w:rPr>
        <w:t xml:space="preserve"> is one</w:t>
      </w:r>
    </w:p>
    <w:p>
      <w:pPr>
        <w:jc w:val="both"/>
      </w:pPr>
      <w:r>
        <w:rPr>
          <w:rFonts w:ascii="EB Garamond" w:hAnsi="EB Garamond" w:cs="EB Garamond"/>
          <w:b w:val="0"/>
          <w:i w:val="0"/>
          <w:color w:val="26282E"/>
          <w:sz w:val="21"/>
        </w:rPr>
        <w:t xml:space="preserve">or more </w:t>
      </w:r>
      <w:r>
        <w:rPr>
          <w:rFonts w:ascii="EB Garamond" w:hAnsi="EB Garamond" w:cs="EB Garamond"/>
          <w:b/>
          <w:i w:val="0"/>
          <w:color w:val="26282E"/>
          <w:sz w:val="21"/>
        </w:rPr>
        <w:t>charitable or educational purposes</w:t>
      </w:r>
      <w:r>
        <w:rPr>
          <w:rFonts w:ascii="EB Garamond" w:hAnsi="EB Garamond" w:cs="EB Garamond"/>
          <w:b w:val="0"/>
          <w:i w:val="0"/>
          <w:color w:val="26282E"/>
          <w:sz w:val="21"/>
        </w:rPr>
        <w:t xml:space="preserve">, that no other purpose (income/appreciation) is a </w:t>
      </w:r>
      <w:r>
        <w:rPr>
          <w:rFonts w:ascii="EB Garamond" w:hAnsi="EB Garamond" w:cs="EB Garamond"/>
          <w:b/>
          <w:i w:val="0"/>
          <w:color w:val="26282E"/>
          <w:sz w:val="21"/>
        </w:rPr>
        <w:t>significant</w:t>
      </w:r>
      <w:r>
        <w:rPr>
          <w:rFonts w:ascii="EB Garamond" w:hAnsi="EB Garamond" w:cs="EB Garamond"/>
          <w:b w:val="0"/>
          <w:i w:val="0"/>
          <w:color w:val="26282E"/>
          <w:sz w:val="21"/>
        </w:rPr>
        <w:t xml:space="preserve"> purpose, and that it is not formed for political or legislative purposes — tracking </w:t>
      </w:r>
      <w:r>
        <w:rPr>
          <w:rFonts w:ascii="EB Garamond" w:hAnsi="EB Garamond" w:cs="EB Garamond"/>
          <w:b/>
          <w:i w:val="0"/>
          <w:color w:val="26282E"/>
          <w:sz w:val="21"/>
        </w:rPr>
        <w:t>Treas. Reg. § 53.4944-3(b)</w:t>
      </w:r>
      <w:r>
        <w:rPr>
          <w:rFonts w:ascii="EB Garamond" w:hAnsi="EB Garamond" w:cs="EB Garamond"/>
          <w:b w:val="0"/>
          <w:i w:val="0"/>
          <w:color w:val="26282E"/>
          <w:sz w:val="21"/>
        </w:rPr>
        <w:t xml:space="preserve"> (the private-foundation </w:t>
      </w:r>
      <w:r>
        <w:rPr>
          <w:rFonts w:ascii="EB Garamond" w:hAnsi="EB Garamond" w:cs="EB Garamond"/>
          <w:b/>
          <w:i w:val="0"/>
          <w:color w:val="26282E"/>
          <w:sz w:val="21"/>
        </w:rPr>
        <w:t>program-related investment (PRI)</w:t>
      </w:r>
      <w:r>
        <w:rPr>
          <w:rFonts w:ascii="EB Garamond" w:hAnsi="EB Garamond" w:cs="EB Garamond"/>
          <w:b w:val="0"/>
          <w:i w:val="0"/>
          <w:color w:val="26282E"/>
          <w:sz w:val="21"/>
        </w:rPr>
        <w:t xml:space="preserve"> test, stemming from the Tax Reform Act of 1969's 5% payout regime). Members keep LLC limited liability; the entity is </w:t>
      </w:r>
      <w:r>
        <w:rPr>
          <w:rFonts w:ascii="EB Garamond" w:hAnsi="EB Garamond" w:cs="EB Garamond"/>
          <w:b/>
          <w:i w:val="0"/>
          <w:color w:val="26282E"/>
          <w:sz w:val="21"/>
        </w:rPr>
        <w:t>taxed like any LLC</w:t>
      </w:r>
      <w:r>
        <w:rPr>
          <w:rFonts w:ascii="EB Garamond" w:hAnsi="EB Garamond" w:cs="EB Garamond"/>
          <w:b w:val="0"/>
          <w:i w:val="0"/>
          <w:color w:val="26282E"/>
          <w:sz w:val="21"/>
        </w:rPr>
        <w:t xml:space="preserve"> (pass-through by default; C- or S-election available); it is </w:t>
      </w:r>
      <w:r>
        <w:rPr>
          <w:rFonts w:ascii="EB Garamond" w:hAnsi="EB Garamond" w:cs="EB Garamond"/>
          <w:b/>
          <w:i w:val="0"/>
          <w:color w:val="26282E"/>
          <w:sz w:val="21"/>
        </w:rPr>
        <w:t>not</w:t>
      </w:r>
      <w:r>
        <w:rPr>
          <w:rFonts w:ascii="EB Garamond" w:hAnsi="EB Garamond" w:cs="EB Garamond"/>
          <w:b w:val="0"/>
          <w:i w:val="0"/>
          <w:color w:val="26282E"/>
          <w:sz w:val="21"/>
        </w:rPr>
        <w:t xml:space="preserve"> tax-exempt.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Origin:</w:t>
      </w:r>
      <w:r>
        <w:rPr>
          <w:rFonts w:ascii="EB Garamond" w:hAnsi="EB Garamond" w:cs="EB Garamond"/>
          <w:b w:val="0"/>
          <w:i w:val="0"/>
          <w:color w:val="26282E"/>
          <w:sz w:val="21"/>
        </w:rPr>
        <w:t xml:space="preserve"> conceived by </w:t>
      </w:r>
      <w:r>
        <w:rPr>
          <w:rFonts w:ascii="EB Garamond" w:hAnsi="EB Garamond" w:cs="EB Garamond"/>
          <w:b/>
          <w:i w:val="0"/>
          <w:color w:val="26282E"/>
          <w:sz w:val="21"/>
        </w:rPr>
        <w:t>Robert M. Lang, Jr.</w:t>
      </w:r>
      <w:r>
        <w:rPr>
          <w:rFonts w:ascii="EB Garamond" w:hAnsi="EB Garamond" w:cs="EB Garamond"/>
          <w:b w:val="0"/>
          <w:i w:val="0"/>
          <w:color w:val="26282E"/>
          <w:sz w:val="21"/>
        </w:rPr>
        <w:t xml:space="preserve"> (Mary Elizabeth &amp; Gordon B. Lang Foundation,</w:t>
      </w:r>
    </w:p>
    <w:p>
      <w:pPr>
        <w:jc w:val="both"/>
      </w:pPr>
      <w:r>
        <w:rPr>
          <w:rFonts w:ascii="EB Garamond" w:hAnsi="EB Garamond" w:cs="EB Garamond"/>
          <w:b w:val="0"/>
          <w:i w:val="0"/>
          <w:color w:val="26282E"/>
          <w:sz w:val="21"/>
        </w:rPr>
        <w:t xml:space="preserve">NY) with the Americans for Community Co-operation; first statute </w:t>
      </w:r>
      <w:r>
        <w:rPr>
          <w:rFonts w:ascii="EB Garamond" w:hAnsi="EB Garamond" w:cs="EB Garamond"/>
          <w:b/>
          <w:i w:val="0"/>
          <w:color w:val="26282E"/>
          <w:sz w:val="21"/>
        </w:rPr>
        <w:t>Vermont, April/May 2008</w:t>
      </w:r>
      <w:r>
        <w:rPr>
          <w:rFonts w:ascii="EB Garamond" w:hAnsi="EB Garamond" w:cs="EB Garamond"/>
          <w:b w:val="0"/>
          <w:i w:val="0"/>
          <w:color w:val="26282E"/>
          <w:sz w:val="21"/>
        </w:rPr>
        <w:t xml:space="preserve"> (Vt. Stat. Ann. tit. 11, §§ 3001(2)(C), 3312), followed by Michigan (2008), Wyoming, Utah, Illinois (2009), North Carolina (2010), Louisiana, Maine, North Dakota, Rhode Island, Missouri, and the Crow Tribe of Montana and Oglala Sioux Tribe (tribal codes); Puerto Rico also enacted. </w:t>
      </w:r>
      <w:r>
        <w:rPr>
          <w:rFonts w:ascii="EB Garamond" w:hAnsi="EB Garamond" w:cs="EB Garamond"/>
          <w:b/>
          <w:i w:val="0"/>
          <w:color w:val="26282E"/>
          <w:sz w:val="21"/>
        </w:rPr>
        <w:t>North Carolina repealed</w:t>
      </w:r>
      <w:r>
        <w:rPr>
          <w:rFonts w:ascii="EB Garamond" w:hAnsi="EB Garamond" w:cs="EB Garamond"/>
          <w:b w:val="0"/>
          <w:i w:val="0"/>
          <w:color w:val="26282E"/>
          <w:sz w:val="21"/>
        </w:rPr>
        <w:t xml:space="preserve"> retroactively effective Jan. 1, 2014. Adoption peaked around a dozen-plus jurisdictions; the doc's state list matches this record.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IRS has never certified the form.</w:t>
      </w:r>
      <w:r>
        <w:rPr>
          <w:rFonts w:ascii="EB Garamond" w:hAnsi="EB Garamond" w:cs="EB Garamond"/>
          <w:b w:val="0"/>
          <w:i w:val="0"/>
          <w:color w:val="26282E"/>
          <w:sz w:val="21"/>
        </w:rPr>
        <w:t xml:space="preserve"> The IRS declined to issue blanket guidance that every</w:t>
      </w:r>
    </w:p>
    <w:p>
      <w:pPr>
        <w:jc w:val="both"/>
      </w:pPr>
      <w:r>
        <w:rPr>
          <w:rFonts w:ascii="EB Garamond" w:hAnsi="EB Garamond" w:cs="EB Garamond"/>
          <w:b w:val="0"/>
          <w:i w:val="0"/>
          <w:color w:val="26282E"/>
          <w:sz w:val="21"/>
        </w:rPr>
        <w:t xml:space="preserve">L3C automatically qualifies as a PRI recipient; any particular investment is tested case-by-case, and foundations commonly seek a costly </w:t>
      </w:r>
      <w:r>
        <w:rPr>
          <w:rFonts w:ascii="EB Garamond" w:hAnsi="EB Garamond" w:cs="EB Garamond"/>
          <w:b/>
          <w:i w:val="0"/>
          <w:color w:val="26282E"/>
          <w:sz w:val="21"/>
        </w:rPr>
        <w:t>private letter ruling</w:t>
      </w:r>
      <w:r>
        <w:rPr>
          <w:rFonts w:ascii="EB Garamond" w:hAnsi="EB Garamond" w:cs="EB Garamond"/>
          <w:b w:val="0"/>
          <w:i w:val="0"/>
          <w:color w:val="26282E"/>
          <w:sz w:val="21"/>
        </w:rPr>
        <w:t xml:space="preserve"> (often cited at $25–50k+ and 12–18 months). This uncertainty — plus profit-motivated investors' resistance to the "no significant profit purpose" cap — is why the form never scaled (≈711 L3Cs in 2013; ≈ 1,700 by 2020, per the doc's own figures, citing the L3C ecosystem surveys). Nothing about an L3C affects </w:t>
      </w:r>
      <w:r>
        <w:rPr>
          <w:rFonts w:ascii="EB Garamond" w:hAnsi="EB Garamond" w:cs="EB Garamond"/>
          <w:b/>
          <w:i w:val="0"/>
          <w:color w:val="26282E"/>
          <w:sz w:val="21"/>
        </w:rPr>
        <w:t>personal</w:t>
      </w:r>
      <w:r>
        <w:rPr>
          <w:rFonts w:ascii="EB Garamond" w:hAnsi="EB Garamond" w:cs="EB Garamond"/>
          <w:b w:val="0"/>
          <w:i w:val="0"/>
          <w:color w:val="26282E"/>
          <w:sz w:val="21"/>
        </w:rPr>
        <w:t xml:space="preserve"> legal obligations: it confers no sovereignty, no tax immunity, and no exemption from state law. Forming one does not separate a natural person from statutes.</w:t>
      </w:r>
    </w:p>
    <w:p>
      <w:pPr>
        <w:pBdr>
          <w:bottom w:val="single" w:sz="6" w:space="1" w:color="B9975B"/>
        </w:pBdr>
      </w:pPr>
    </w:p>
    <w:p>
      <w:pPr>
        <w:keepNext/>
        <w:spacing w:before="240"/>
      </w:pPr>
      <w:r>
        <w:rPr>
          <w:rFonts w:ascii="EB Garamond" w:hAnsi="EB Garamond" w:cs="EB Garamond"/>
          <w:b/>
          <w:i w:val="0"/>
          <w:color w:val="1B2A41"/>
          <w:sz w:val="28"/>
        </w:rPr>
        <w:t>3. CORRECTIONS — specific statements that are legally wrong</w:t>
      </w:r>
    </w:p>
    <w:p>
      <w:pPr>
        <w:jc w:val="both"/>
      </w:pPr>
      <w:r>
        <w:rPr>
          <w:rFonts w:ascii="EB Garamond" w:hAnsi="EB Garamond" w:cs="EB Garamond"/>
          <w:b w:val="0"/>
          <w:i w:val="0"/>
          <w:color w:val="26282E"/>
          <w:sz w:val="21"/>
        </w:rPr>
        <w:t xml:space="preserve">Each item: </w:t>
      </w:r>
      <w:r>
        <w:rPr>
          <w:rFonts w:ascii="EB Garamond" w:hAnsi="EB Garamond" w:cs="EB Garamond"/>
          <w:b/>
          <w:i w:val="0"/>
          <w:color w:val="26282E"/>
          <w:sz w:val="21"/>
        </w:rPr>
        <w:t>doc claim → correct rule + citation.</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"The U.S. Secretary of State is the 'Archivist' of legal titles of 'The People' … Beneficiaries of the Estate Trust" (DISCLAIMER l.9).</w:t>
      </w:r>
      <w:r>
        <w:rPr>
          <w:rFonts w:ascii="EB Garamond" w:hAnsi="EB Garamond" w:cs="EB Garamond"/>
          <w:b w:val="0"/>
          <w:i w:val="0"/>
          <w:color w:val="26282E"/>
          <w:sz w:val="21"/>
        </w:rPr>
        <w:t xml:space="preserve"> No such office or trust exists. The Archivist of the United States heads the National Archives and Records Administration (44 U.S.C. § 2102) and holds </w:t>
      </w:r>
      <w:r>
        <w:rPr>
          <w:rFonts w:ascii="EB Garamond" w:hAnsi="EB Garamond" w:cs="EB Garamond"/>
          <w:b/>
          <w:i w:val="0"/>
          <w:color w:val="26282E"/>
          <w:sz w:val="21"/>
        </w:rPr>
        <w:t>government records</w:t>
      </w:r>
      <w:r>
        <w:rPr>
          <w:rFonts w:ascii="EB Garamond" w:hAnsi="EB Garamond" w:cs="EB Garamond"/>
          <w:b w:val="0"/>
          <w:i w:val="0"/>
          <w:color w:val="26282E"/>
          <w:sz w:val="21"/>
        </w:rPr>
        <w:t xml:space="preserve">, not titles on behalf of citizens. Individuals are not beneficiaries of any federal "Estate Trust." Listed sovereign-citizen mythology (FBI LEB 2011; dismissed as frivolous in </w:t>
      </w:r>
      <w:r>
        <w:rPr>
          <w:rFonts w:ascii="EB Garamond" w:hAnsi="EB Garamond" w:cs="EB Garamond"/>
          <w:b w:val="0"/>
          <w:i/>
          <w:color w:val="26282E"/>
          <w:sz w:val="21"/>
        </w:rPr>
        <w:t>Marcantel</w:t>
      </w:r>
      <w:r>
        <w:rPr>
          <w:rFonts w:ascii="EB Garamond" w:hAnsi="EB Garamond" w:cs="EB Garamond"/>
          <w:b w:val="0"/>
          <w:i w:val="0"/>
          <w:color w:val="26282E"/>
          <w:sz w:val="21"/>
        </w:rPr>
        <w:t xml:space="preserve"> (M.D. La. 2023)).</w:t>
      </w:r>
    </w:p>
    <w:p>
      <w:pPr>
        <w:jc w:val="both"/>
      </w:pPr>
      <w:r>
        <w:rPr>
          <w:rFonts w:ascii="EB Garamond" w:hAnsi="EB Garamond" w:cs="EB Garamond"/>
          <w:b w:val="0"/>
          <w:i w:val="0"/>
          <w:color w:val="26282E"/>
          <w:sz w:val="21"/>
        </w:rPr>
        <w:t xml:space="preserve">2. </w:t>
      </w:r>
      <w:r>
        <w:rPr>
          <w:rFonts w:ascii="EB Garamond" w:hAnsi="EB Garamond" w:cs="EB Garamond"/>
          <w:b/>
          <w:i w:val="0"/>
          <w:color w:val="26282E"/>
          <w:sz w:val="21"/>
        </w:rPr>
        <w:t>"I am a Foreign Sovereign … owed The Law of Peace, pursuant to Department of the Army Pamphlet 27-161-1, from all Territorial and Municipal Officers" (l.13).</w:t>
      </w:r>
      <w:r>
        <w:rPr>
          <w:rFonts w:ascii="EB Garamond" w:hAnsi="EB Garamond" w:cs="EB Garamond"/>
          <w:b w:val="0"/>
          <w:i w:val="0"/>
          <w:color w:val="26282E"/>
          <w:sz w:val="21"/>
        </w:rPr>
        <w:t xml:space="preserve"> DA Pam 27-161-1, </w:t>
      </w:r>
      <w:r>
        <w:rPr>
          <w:rFonts w:ascii="EB Garamond" w:hAnsi="EB Garamond" w:cs="EB Garamond"/>
          <w:b w:val="0"/>
          <w:i/>
          <w:color w:val="26282E"/>
          <w:sz w:val="21"/>
        </w:rPr>
        <w:t>International Law, Vol. I: The Law of Peace</w:t>
      </w:r>
      <w:r>
        <w:rPr>
          <w:rFonts w:ascii="EB Garamond" w:hAnsi="EB Garamond" w:cs="EB Garamond"/>
          <w:b w:val="0"/>
          <w:i w:val="0"/>
          <w:color w:val="26282E"/>
          <w:sz w:val="21"/>
        </w:rPr>
        <w:t xml:space="preserve"> (1979), is an internal DoD treatise on the law-of-peace aspects of </w:t>
      </w:r>
      <w:r>
        <w:rPr>
          <w:rFonts w:ascii="EB Garamond" w:hAnsi="EB Garamond" w:cs="EB Garamond"/>
          <w:b/>
          <w:i w:val="0"/>
          <w:color w:val="26282E"/>
          <w:sz w:val="21"/>
        </w:rPr>
        <w:t>military foreign affairs</w:t>
      </w:r>
      <w:r>
        <w:rPr>
          <w:rFonts w:ascii="EB Garamond" w:hAnsi="EB Garamond" w:cs="EB Garamond"/>
          <w:b w:val="0"/>
          <w:i w:val="0"/>
          <w:color w:val="26282E"/>
          <w:sz w:val="21"/>
        </w:rPr>
        <w:t xml:space="preserve">; it grants no status, immunity, or right to civilians, and no court has ever recognized such a claim. U.S. persons remain fully subject to federal and state law (Fourteenth Amendment; </w:t>
      </w:r>
      <w:r>
        <w:rPr>
          <w:rFonts w:ascii="EB Garamond" w:hAnsi="EB Garamond" w:cs="EB Garamond"/>
          <w:b w:val="0"/>
          <w:i/>
          <w:color w:val="26282E"/>
          <w:sz w:val="21"/>
        </w:rPr>
        <w:t>Afroyim v. Rusk</w:t>
      </w:r>
      <w:r>
        <w:rPr>
          <w:rFonts w:ascii="EB Garamond" w:hAnsi="EB Garamond" w:cs="EB Garamond"/>
          <w:b w:val="0"/>
          <w:i w:val="0"/>
          <w:color w:val="26282E"/>
          <w:sz w:val="21"/>
        </w:rPr>
        <w:t>, 387 U.S. 253 (1967), on the indissolubility of citizenship absent voluntary renunciation under 8 U.S.C. § 1481(a)).</w:t>
      </w:r>
    </w:p>
    <w:p>
      <w:pPr>
        <w:jc w:val="both"/>
      </w:pPr>
      <w:r>
        <w:rPr>
          <w:rFonts w:ascii="EB Garamond" w:hAnsi="EB Garamond" w:cs="EB Garamond"/>
          <w:b w:val="0"/>
          <w:i w:val="0"/>
          <w:color w:val="26282E"/>
          <w:sz w:val="21"/>
        </w:rPr>
        <w:t xml:space="preserve">3. </w:t>
      </w:r>
      <w:r>
        <w:rPr>
          <w:rFonts w:ascii="EB Garamond" w:hAnsi="EB Garamond" w:cs="EB Garamond"/>
          <w:b/>
          <w:i w:val="0"/>
          <w:color w:val="26282E"/>
          <w:sz w:val="21"/>
        </w:rPr>
        <w:t>"…damages pursuant to 18 U.S.C. 2333, 18 U.S.C. 1341 and 1342" (l.15).</w:t>
      </w:r>
      <w:r>
        <w:rPr>
          <w:rFonts w:ascii="EB Garamond" w:hAnsi="EB Garamond" w:cs="EB Garamond"/>
          <w:b w:val="0"/>
          <w:i w:val="0"/>
          <w:color w:val="26282E"/>
          <w:sz w:val="21"/>
        </w:rPr>
        <w:t xml:space="preserve"> § 2333(b) provides a civil action only for </w:t>
      </w:r>
      <w:r>
        <w:rPr>
          <w:rFonts w:ascii="EB Garamond" w:hAnsi="EB Garamond" w:cs="EB Garamond"/>
          <w:b/>
          <w:i w:val="0"/>
          <w:color w:val="26282E"/>
          <w:sz w:val="21"/>
        </w:rPr>
        <w:t>U.S. nationals injured by international terrorism</w:t>
      </w:r>
      <w:r>
        <w:rPr>
          <w:rFonts w:ascii="EB Garamond" w:hAnsi="EB Garamond" w:cs="EB Garamond"/>
          <w:b w:val="0"/>
          <w:i w:val="0"/>
          <w:color w:val="26282E"/>
          <w:sz w:val="21"/>
        </w:rPr>
        <w:t xml:space="preserve"> (and 2018's § 2333(d) targets financiers of terrorism); §§ 1341–1342 criminalize mail fraud and postal obstruction — none creates a tax-refund or "trespass" damages action. Correct vehicle for a takings claim against the U.S.: the </w:t>
      </w:r>
      <w:r>
        <w:rPr>
          <w:rFonts w:ascii="EB Garamond" w:hAnsi="EB Garamond" w:cs="EB Garamond"/>
          <w:b/>
          <w:i w:val="0"/>
          <w:color w:val="26282E"/>
          <w:sz w:val="21"/>
        </w:rPr>
        <w:t>Tucker Act</w:t>
      </w:r>
      <w:r>
        <w:rPr>
          <w:rFonts w:ascii="EB Garamond" w:hAnsi="EB Garamond" w:cs="EB Garamond"/>
          <w:b w:val="0"/>
          <w:i w:val="0"/>
          <w:color w:val="26282E"/>
          <w:sz w:val="21"/>
        </w:rPr>
        <w:t>, 28 U.S.C. § 1491, in the Court of Federal Claims.</w:t>
      </w:r>
    </w:p>
    <w:p>
      <w:pPr>
        <w:jc w:val="both"/>
      </w:pPr>
      <w:r>
        <w:rPr>
          <w:rFonts w:ascii="EB Garamond" w:hAnsi="EB Garamond" w:cs="EB Garamond"/>
          <w:b w:val="0"/>
          <w:i w:val="0"/>
          <w:color w:val="26282E"/>
          <w:sz w:val="21"/>
        </w:rPr>
        <w:t xml:space="preserve">4. </w:t>
      </w:r>
      <w:r>
        <w:rPr>
          <w:rFonts w:ascii="EB Garamond" w:hAnsi="EB Garamond" w:cs="EB Garamond"/>
          <w:b/>
          <w:i w:val="0"/>
          <w:color w:val="26282E"/>
          <w:sz w:val="21"/>
        </w:rPr>
        <w:t>"…sue the United States … a course of action which will never provide remedy because the United States is bankrupt" (l.49).</w:t>
      </w:r>
      <w:r>
        <w:rPr>
          <w:rFonts w:ascii="EB Garamond" w:hAnsi="EB Garamond" w:cs="EB Garamond"/>
          <w:b w:val="0"/>
          <w:i w:val="0"/>
          <w:color w:val="26282E"/>
          <w:sz w:val="21"/>
        </w:rPr>
        <w:t xml:space="preserve"> False. The U.S. is not bankrupt and pays judgments: Court of Federal Claims judgments are paid from the Judgment Fund (31 U.S.C. § 1304). The "US is bankrupt/1933" theory is uniformly rejected (e.g., sovCit-dismissal case law collected in </w:t>
      </w:r>
      <w:r>
        <w:rPr>
          <w:rFonts w:ascii="EB Garamond" w:hAnsi="EB Garamond" w:cs="EB Garamond"/>
          <w:b w:val="0"/>
          <w:i/>
          <w:color w:val="26282E"/>
          <w:sz w:val="21"/>
        </w:rPr>
        <w:t>Marcantel</w:t>
      </w:r>
      <w:r>
        <w:rPr>
          <w:rFonts w:ascii="EB Garamond" w:hAnsi="EB Garamond" w:cs="EB Garamond"/>
          <w:b w:val="0"/>
          <w:i w:val="0"/>
          <w:color w:val="26282E"/>
          <w:sz w:val="21"/>
        </w:rPr>
        <w:t>).</w:t>
      </w:r>
    </w:p>
    <w:p>
      <w:pPr>
        <w:jc w:val="both"/>
      </w:pPr>
      <w:r>
        <w:rPr>
          <w:rFonts w:ascii="EB Garamond" w:hAnsi="EB Garamond" w:cs="EB Garamond"/>
          <w:b w:val="0"/>
          <w:i w:val="0"/>
          <w:color w:val="26282E"/>
          <w:sz w:val="21"/>
        </w:rPr>
        <w:t xml:space="preserve">5. </w:t>
      </w:r>
      <w:r>
        <w:rPr>
          <w:rFonts w:ascii="EB Garamond" w:hAnsi="EB Garamond" w:cs="EB Garamond"/>
          <w:b/>
          <w:i w:val="0"/>
          <w:color w:val="26282E"/>
          <w:sz w:val="21"/>
        </w:rPr>
        <w:t>"In the United States, a 'person' is defined as a 'foreign state' and owner of a vessel, and an 'individual' is defined as an artificial 'federally chartered entity'" (l.51).</w:t>
      </w:r>
      <w:r>
        <w:rPr>
          <w:rFonts w:ascii="EB Garamond" w:hAnsi="EB Garamond" w:cs="EB Garamond"/>
          <w:b w:val="0"/>
          <w:i w:val="0"/>
          <w:color w:val="26282E"/>
          <w:sz w:val="21"/>
        </w:rPr>
        <w:t xml:space="preserve"> Inverted and fabricated. 1 U.S.C. § 1: "person" and "whoever" "include corporations, companies, associations, firms, partnerships, societies, and joint stock companies, as well as </w:t>
      </w:r>
      <w:r>
        <w:rPr>
          <w:rFonts w:ascii="EB Garamond" w:hAnsi="EB Garamond" w:cs="EB Garamond"/>
          <w:b/>
          <w:i w:val="0"/>
          <w:color w:val="26282E"/>
          <w:sz w:val="21"/>
        </w:rPr>
        <w:t>individuals</w:t>
      </w:r>
      <w:r>
        <w:rPr>
          <w:rFonts w:ascii="EB Garamond" w:hAnsi="EB Garamond" w:cs="EB Garamond"/>
          <w:b w:val="0"/>
          <w:i w:val="0"/>
          <w:color w:val="26282E"/>
          <w:sz w:val="21"/>
        </w:rPr>
        <w:t>." No federal statute defines "individual" as a corporation.</w:t>
      </w:r>
    </w:p>
    <w:p>
      <w:pPr>
        <w:jc w:val="both"/>
      </w:pPr>
      <w:r>
        <w:rPr>
          <w:rFonts w:ascii="EB Garamond" w:hAnsi="EB Garamond" w:cs="EB Garamond"/>
          <w:b w:val="0"/>
          <w:i w:val="0"/>
          <w:color w:val="26282E"/>
          <w:sz w:val="21"/>
        </w:rPr>
        <w:t xml:space="preserve">6. </w:t>
      </w:r>
      <w:r>
        <w:rPr>
          <w:rFonts w:ascii="EB Garamond" w:hAnsi="EB Garamond" w:cs="EB Garamond"/>
          <w:b/>
          <w:i w:val="0"/>
          <w:color w:val="26282E"/>
          <w:sz w:val="21"/>
        </w:rPr>
        <w:t>"National banking associations do not have regulatory authority to file liens in the several U.S. States; as is also the case for the Internal Revenue Service" (l.59).</w:t>
      </w:r>
      <w:r>
        <w:rPr>
          <w:rFonts w:ascii="EB Garamond" w:hAnsi="EB Garamond" w:cs="EB Garamond"/>
          <w:b w:val="0"/>
          <w:i w:val="0"/>
          <w:color w:val="26282E"/>
          <w:sz w:val="21"/>
        </w:rPr>
        <w:t xml:space="preserve"> The IRS files </w:t>
      </w:r>
      <w:r>
        <w:rPr>
          <w:rFonts w:ascii="EB Garamond" w:hAnsi="EB Garamond" w:cs="EB Garamond"/>
          <w:b/>
          <w:i w:val="0"/>
          <w:color w:val="26282E"/>
          <w:sz w:val="21"/>
        </w:rPr>
        <w:t>notices of federal tax lien</w:t>
      </w:r>
      <w:r>
        <w:rPr>
          <w:rFonts w:ascii="EB Garamond" w:hAnsi="EB Garamond" w:cs="EB Garamond"/>
          <w:b w:val="0"/>
          <w:i w:val="0"/>
          <w:color w:val="26282E"/>
          <w:sz w:val="21"/>
        </w:rPr>
        <w:t xml:space="preserve"> in state recording offices as a matter of routine law: 26 U.S.C. § 6321 (lien arises), § 6323 (perfection by filing), § 6323(f) (place of filing — state or federal). Banking regulators have independent lien/supervisory powers (12 U.S.C. § 1821(d)).</w:t>
      </w:r>
    </w:p>
    <w:p>
      <w:pPr>
        <w:jc w:val="both"/>
      </w:pPr>
      <w:r>
        <w:rPr>
          <w:rFonts w:ascii="EB Garamond" w:hAnsi="EB Garamond" w:cs="EB Garamond"/>
          <w:b w:val="0"/>
          <w:i w:val="0"/>
          <w:color w:val="26282E"/>
          <w:sz w:val="21"/>
        </w:rPr>
        <w:t xml:space="preserve">7. </w:t>
      </w:r>
      <w:r>
        <w:rPr>
          <w:rFonts w:ascii="EB Garamond" w:hAnsi="EB Garamond" w:cs="EB Garamond"/>
          <w:b/>
          <w:i w:val="0"/>
          <w:color w:val="26282E"/>
          <w:sz w:val="21"/>
        </w:rPr>
        <w:t>"IRS … delinquent taxes … are counterfeiting securities of the United States" (l.61).</w:t>
      </w:r>
      <w:r>
        <w:rPr>
          <w:rFonts w:ascii="EB Garamond" w:hAnsi="EB Garamond" w:cs="EB Garamond"/>
          <w:b w:val="0"/>
          <w:i w:val="0"/>
          <w:color w:val="26282E"/>
          <w:sz w:val="21"/>
        </w:rPr>
        <w:t xml:space="preserve"> False, and self-defeating: counterfeiting "securities of the United States" is itself a crime (18 U.S.C. § 471 et seq.); IRS assessments, liens, and levies are lawful exercises of Subtitle F, 26 U.S.C. §§ 6201, 6321, 6331.</w:t>
      </w:r>
    </w:p>
    <w:p>
      <w:pPr>
        <w:jc w:val="both"/>
      </w:pPr>
      <w:r>
        <w:rPr>
          <w:rFonts w:ascii="EB Garamond" w:hAnsi="EB Garamond" w:cs="EB Garamond"/>
          <w:b w:val="0"/>
          <w:i w:val="0"/>
          <w:color w:val="26282E"/>
          <w:sz w:val="21"/>
        </w:rPr>
        <w:t xml:space="preserve">8. </w:t>
      </w:r>
      <w:r>
        <w:rPr>
          <w:rFonts w:ascii="EB Garamond" w:hAnsi="EB Garamond" w:cs="EB Garamond"/>
          <w:b/>
          <w:i w:val="0"/>
          <w:color w:val="26282E"/>
          <w:sz w:val="21"/>
        </w:rPr>
        <w:t>"…Georgia lost an island in the Savannah River to South Carolina in 1990, when South Carolina had used fill from dredging … Since Georgia knew of this yet did nothing … the U.S. Supreme Court … granted this land to South Carolina" (Squatting doc l.151).</w:t>
      </w:r>
      <w:r>
        <w:rPr>
          <w:rFonts w:ascii="EB Garamond" w:hAnsi="EB Garamond" w:cs="EB Garamond"/>
          <w:b w:val="0"/>
          <w:i w:val="0"/>
          <w:color w:val="26282E"/>
          <w:sz w:val="21"/>
        </w:rPr>
        <w:t xml:space="preserve"> Wrong in mechanism. </w:t>
      </w:r>
      <w:r>
        <w:rPr>
          <w:rFonts w:ascii="EB Garamond" w:hAnsi="EB Garamond" w:cs="EB Garamond"/>
          <w:b w:val="0"/>
          <w:i/>
          <w:color w:val="26282E"/>
          <w:sz w:val="21"/>
        </w:rPr>
        <w:t>Georgia v. South Carolina</w:t>
      </w:r>
      <w:r>
        <w:rPr>
          <w:rFonts w:ascii="EB Garamond" w:hAnsi="EB Garamond" w:cs="EB Garamond"/>
          <w:b w:val="0"/>
          <w:i w:val="0"/>
          <w:color w:val="26282E"/>
          <w:sz w:val="21"/>
        </w:rPr>
        <w:t xml:space="preserve">, 497 U.S. 376 (1990) awarded the </w:t>
      </w:r>
      <w:r>
        <w:rPr>
          <w:rFonts w:ascii="EB Garamond" w:hAnsi="EB Garamond" w:cs="EB Garamond"/>
          <w:b/>
          <w:i w:val="0"/>
          <w:color w:val="26282E"/>
          <w:sz w:val="21"/>
        </w:rPr>
        <w:t>Barnwell Islands to South Carolina</w:t>
      </w:r>
      <w:r>
        <w:rPr>
          <w:rFonts w:ascii="EB Garamond" w:hAnsi="EB Garamond" w:cs="EB Garamond"/>
          <w:b w:val="0"/>
          <w:i w:val="0"/>
          <w:color w:val="26282E"/>
          <w:sz w:val="21"/>
        </w:rPr>
        <w:t xml:space="preserve"> based on South Carolina's long exercise of sovereignty (taxing, policing, prosecuting there) — i.e., </w:t>
      </w:r>
      <w:r>
        <w:rPr>
          <w:rFonts w:ascii="EB Garamond" w:hAnsi="EB Garamond" w:cs="EB Garamond"/>
          <w:b/>
          <w:i w:val="0"/>
          <w:color w:val="26282E"/>
          <w:sz w:val="21"/>
        </w:rPr>
        <w:t>Georgia lost</w:t>
      </w:r>
      <w:r>
        <w:rPr>
          <w:rFonts w:ascii="EB Garamond" w:hAnsi="EB Garamond" w:cs="EB Garamond"/>
          <w:b w:val="0"/>
          <w:i w:val="0"/>
          <w:color w:val="26282E"/>
          <w:sz w:val="21"/>
        </w:rPr>
        <w:t xml:space="preserve">, but via prescription/acquiescence doctrine, not because South Carolina dumped fill. The </w:t>
      </w:r>
      <w:r>
        <w:rPr>
          <w:rFonts w:ascii="EB Garamond" w:hAnsi="EB Garamond" w:cs="EB Garamond"/>
          <w:b/>
          <w:i w:val="0"/>
          <w:color w:val="26282E"/>
          <w:sz w:val="21"/>
        </w:rPr>
        <w:t>dredge-fill lands (Denwill Plantation, Horseshoe Shoal) were awarded to Georgia</w:t>
      </w:r>
      <w:r>
        <w:rPr>
          <w:rFonts w:ascii="EB Garamond" w:hAnsi="EB Garamond" w:cs="EB Garamond"/>
          <w:b w:val="0"/>
          <w:i w:val="0"/>
          <w:color w:val="26282E"/>
          <w:sz w:val="21"/>
        </w:rPr>
        <w:t xml:space="preserve"> because the Corps' works made the change </w:t>
      </w:r>
      <w:r>
        <w:rPr>
          <w:rFonts w:ascii="EB Garamond" w:hAnsi="EB Garamond" w:cs="EB Garamond"/>
          <w:b/>
          <w:i w:val="0"/>
          <w:color w:val="26282E"/>
          <w:sz w:val="21"/>
        </w:rPr>
        <w:t>avulsive</w:t>
      </w:r>
      <w:r>
        <w:rPr>
          <w:rFonts w:ascii="EB Garamond" w:hAnsi="EB Garamond" w:cs="EB Garamond"/>
          <w:b w:val="0"/>
          <w:i w:val="0"/>
          <w:color w:val="26282E"/>
          <w:sz w:val="21"/>
        </w:rPr>
        <w:t xml:space="preserve"> (avulsion does not move a boundary), over South Carolina's exception. (The Treaty of Beaufort's islands-to-Georgia default was applied to </w:t>
      </w:r>
      <w:r>
        <w:rPr>
          <w:rFonts w:ascii="EB Garamond" w:hAnsi="EB Garamond" w:cs="EB Garamond"/>
          <w:b w:val="0"/>
          <w:i/>
          <w:color w:val="26282E"/>
          <w:sz w:val="21"/>
        </w:rPr>
        <w:t>new</w:t>
      </w:r>
      <w:r>
        <w:rPr>
          <w:rFonts w:ascii="EB Garamond" w:hAnsi="EB Garamond" w:cs="EB Garamond"/>
          <w:b w:val="0"/>
          <w:i w:val="0"/>
          <w:color w:val="26282E"/>
          <w:sz w:val="21"/>
        </w:rPr>
        <w:t xml:space="preserve"> islands per the 1922 </w:t>
      </w:r>
      <w:r>
        <w:rPr>
          <w:rFonts w:ascii="EB Garamond" w:hAnsi="EB Garamond" w:cs="EB Garamond"/>
          <w:b w:val="0"/>
          <w:i/>
          <w:color w:val="26282E"/>
          <w:sz w:val="21"/>
        </w:rPr>
        <w:t>Georgia v. South Carolina</w:t>
      </w:r>
      <w:r>
        <w:rPr>
          <w:rFonts w:ascii="EB Garamond" w:hAnsi="EB Garamond" w:cs="EB Garamond"/>
          <w:b w:val="0"/>
          <w:i w:val="0"/>
          <w:color w:val="26282E"/>
          <w:sz w:val="21"/>
        </w:rPr>
        <w:t>, 259 U.S. 572, construction.)</w:t>
      </w:r>
    </w:p>
    <w:p>
      <w:pPr>
        <w:jc w:val="both"/>
      </w:pPr>
      <w:r>
        <w:rPr>
          <w:rFonts w:ascii="EB Garamond" w:hAnsi="EB Garamond" w:cs="EB Garamond"/>
          <w:b w:val="0"/>
          <w:i w:val="0"/>
          <w:color w:val="26282E"/>
          <w:sz w:val="21"/>
        </w:rPr>
        <w:t xml:space="preserve">9. </w:t>
      </w:r>
      <w:r>
        <w:rPr>
          <w:rFonts w:ascii="EB Garamond" w:hAnsi="EB Garamond" w:cs="EB Garamond"/>
          <w:b/>
          <w:i w:val="0"/>
          <w:color w:val="26282E"/>
          <w:sz w:val="21"/>
        </w:rPr>
        <w:t>"In 2008 … the New York State Legislature amended and limited … adverse possession. Prior to the 2008 amendment, all that was required was a showing that the possession constituted an actual invasion of or infringement upon the owner's rights" (l.127).</w:t>
      </w:r>
      <w:r>
        <w:rPr>
          <w:rFonts w:ascii="EB Garamond" w:hAnsi="EB Garamond" w:cs="EB Garamond"/>
          <w:b w:val="0"/>
          <w:i w:val="0"/>
          <w:color w:val="26282E"/>
          <w:sz w:val="21"/>
        </w:rPr>
        <w:t xml:space="preserve"> Directionally right but imprecise: the pre-2008 test was the five </w:t>
      </w:r>
      <w:r>
        <w:rPr>
          <w:rFonts w:ascii="EB Garamond" w:hAnsi="EB Garamond" w:cs="EB Garamond"/>
          <w:b w:val="0"/>
          <w:i/>
          <w:color w:val="26282E"/>
          <w:sz w:val="21"/>
        </w:rPr>
        <w:t>Van Valkenburgh/Belotti</w:t>
      </w:r>
      <w:r>
        <w:rPr>
          <w:rFonts w:ascii="EB Garamond" w:hAnsi="EB Garamond" w:cs="EB Garamond"/>
          <w:b w:val="0"/>
          <w:i w:val="0"/>
          <w:color w:val="26282E"/>
          <w:sz w:val="21"/>
        </w:rPr>
        <w:t xml:space="preserve"> elements, and </w:t>
      </w:r>
      <w:r>
        <w:rPr>
          <w:rFonts w:ascii="EB Garamond" w:hAnsi="EB Garamond" w:cs="EB Garamond"/>
          <w:b w:val="0"/>
          <w:i/>
          <w:color w:val="26282E"/>
          <w:sz w:val="21"/>
        </w:rPr>
        <w:t>Walling v. Przybylo</w:t>
      </w:r>
      <w:r>
        <w:rPr>
          <w:rFonts w:ascii="EB Garamond" w:hAnsi="EB Garamond" w:cs="EB Garamond"/>
          <w:b w:val="0"/>
          <w:i w:val="0"/>
          <w:color w:val="26282E"/>
          <w:sz w:val="21"/>
        </w:rPr>
        <w:t>, 7 N.Y.3d 214 (2006), specifically held knowledge of true ownership no bar. The 2008 chapter 269 amendments added the reasonable-basis "claim of right" (§ 501(3)) and the § 543 per-se-permissive de minimis/maintenance rules, effective July 8, 2008, applying to claims filed on or after that date, with pre-2008-vesting claims governed by prior law.</w:t>
      </w:r>
    </w:p>
    <w:p>
      <w:pPr>
        <w:jc w:val="both"/>
      </w:pPr>
      <w:r>
        <w:rPr>
          <w:rFonts w:ascii="EB Garamond" w:hAnsi="EB Garamond" w:cs="EB Garamond"/>
          <w:b w:val="0"/>
          <w:i w:val="0"/>
          <w:color w:val="26282E"/>
          <w:sz w:val="21"/>
        </w:rPr>
        <w:t xml:space="preserve">10. </w:t>
      </w:r>
      <w:r>
        <w:rPr>
          <w:rFonts w:ascii="EB Garamond" w:hAnsi="EB Garamond" w:cs="EB Garamond"/>
          <w:b/>
          <w:i w:val="0"/>
          <w:color w:val="26282E"/>
          <w:sz w:val="21"/>
        </w:rPr>
        <w:t>"Approximately eight years after the 2008 amendment, on 30 June 2016, the … First Department … determined … how the First Department would treat claims … where title had vested prior to 2008 … if title vested … before the 2008 amendment, a plaintiff would have lawfully acquired title by satisfying the pre-amendment standard" (l.129).</w:t>
      </w:r>
      <w:r>
        <w:rPr>
          <w:rFonts w:ascii="EB Garamond" w:hAnsi="EB Garamond" w:cs="EB Garamond"/>
          <w:b w:val="0"/>
          <w:i w:val="0"/>
          <w:color w:val="26282E"/>
          <w:sz w:val="21"/>
        </w:rPr>
        <w:t xml:space="preserve"> Accurate as to the vesting rule as stated in </w:t>
      </w:r>
      <w:r>
        <w:rPr>
          <w:rFonts w:ascii="EB Garamond" w:hAnsi="EB Garamond" w:cs="EB Garamond"/>
          <w:b w:val="0"/>
          <w:i/>
          <w:color w:val="26282E"/>
          <w:sz w:val="21"/>
        </w:rPr>
        <w:t>Hudson Square Hotel</w:t>
      </w:r>
      <w:r>
        <w:rPr>
          <w:rFonts w:ascii="EB Garamond" w:hAnsi="EB Garamond" w:cs="EB Garamond"/>
          <w:b w:val="0"/>
          <w:i w:val="0"/>
          <w:color w:val="26282E"/>
          <w:sz w:val="21"/>
        </w:rPr>
        <w:t xml:space="preserve"> (1st Dep't 2016), but the exhibit should carry the caveat that the judgment was later entangled in the </w:t>
      </w:r>
      <w:r>
        <w:rPr>
          <w:rFonts w:ascii="EB Garamond" w:hAnsi="EB Garamond" w:cs="EB Garamond"/>
          <w:b w:val="0"/>
          <w:i/>
          <w:color w:val="26282E"/>
          <w:sz w:val="21"/>
        </w:rPr>
        <w:t>Stang LLC v. Hudson Square Hotel</w:t>
      </w:r>
      <w:r>
        <w:rPr>
          <w:rFonts w:ascii="EB Garamond" w:hAnsi="EB Garamond" w:cs="EB Garamond"/>
          <w:b w:val="0"/>
          <w:i w:val="0"/>
          <w:color w:val="26282E"/>
          <w:sz w:val="21"/>
        </w:rPr>
        <w:t xml:space="preserve"> misconduct litigation (counsel disqualified; conveyance vacated), so it should not be showcased as a clean win.</w:t>
      </w:r>
    </w:p>
    <w:p>
      <w:pPr>
        <w:jc w:val="both"/>
      </w:pPr>
      <w:r>
        <w:rPr>
          <w:rFonts w:ascii="EB Garamond" w:hAnsi="EB Garamond" w:cs="EB Garamond"/>
          <w:b w:val="0"/>
          <w:i w:val="0"/>
          <w:color w:val="26282E"/>
          <w:sz w:val="21"/>
        </w:rPr>
        <w:t xml:space="preserve">11. </w:t>
      </w:r>
      <w:r>
        <w:rPr>
          <w:rFonts w:ascii="EB Garamond" w:hAnsi="EB Garamond" w:cs="EB Garamond"/>
          <w:b/>
          <w:i w:val="0"/>
          <w:color w:val="26282E"/>
          <w:sz w:val="21"/>
        </w:rPr>
        <w:t>"HYBRID L3C Defined: The default United States corporate structure" (DISCLAIMER l.151) and "Vermont was the first state to pass an L3C statute in April 2008 which effectively allowed for the L3C legal form to operate in every U.S. state" (l.219).</w:t>
      </w:r>
      <w:r>
        <w:rPr>
          <w:rFonts w:ascii="EB Garamond" w:hAnsi="EB Garamond" w:cs="EB Garamond"/>
          <w:b w:val="0"/>
          <w:i w:val="0"/>
          <w:color w:val="26282E"/>
          <w:sz w:val="21"/>
        </w:rPr>
        <w:t xml:space="preserve"> Both false. The L3C exists only in the ~12 enacting jurisdictions (plus tribal codes and Puerto Rico); elsewhere it is a foreign (out-of-state) entity that must register to do business — it does not thereby "operate in every U.S. state." The </w:t>
      </w:r>
      <w:r>
        <w:rPr>
          <w:rFonts w:ascii="EB Garamond" w:hAnsi="EB Garamond" w:cs="EB Garamond"/>
          <w:b/>
          <w:i w:val="0"/>
          <w:color w:val="26282E"/>
          <w:sz w:val="21"/>
        </w:rPr>
        <w:t>default</w:t>
      </w:r>
      <w:r>
        <w:rPr>
          <w:rFonts w:ascii="EB Garamond" w:hAnsi="EB Garamond" w:cs="EB Garamond"/>
          <w:b w:val="0"/>
          <w:i w:val="0"/>
          <w:color w:val="26282E"/>
          <w:sz w:val="21"/>
        </w:rPr>
        <w:t xml:space="preserve"> U.S. business structure is the ordinary LLC (or sole proprietorship for individuals); L3Cs number only in the low thousands nationally.</w:t>
      </w:r>
    </w:p>
    <w:p>
      <w:pPr>
        <w:jc w:val="both"/>
      </w:pPr>
      <w:r>
        <w:rPr>
          <w:rFonts w:ascii="EB Garamond" w:hAnsi="EB Garamond" w:cs="EB Garamond"/>
          <w:b w:val="0"/>
          <w:i w:val="0"/>
          <w:color w:val="26282E"/>
          <w:sz w:val="21"/>
        </w:rPr>
        <w:t xml:space="preserve">12. </w:t>
      </w:r>
      <w:r>
        <w:rPr>
          <w:rFonts w:ascii="EB Garamond" w:hAnsi="EB Garamond" w:cs="EB Garamond"/>
          <w:b/>
          <w:i w:val="0"/>
          <w:color w:val="26282E"/>
          <w:sz w:val="21"/>
        </w:rPr>
        <w:t>"an L3C cannot seek to accomplish any political or legislative purposes" (l.183, as a statement of Treas. Reg. § 53.4944-3(a)).</w:t>
      </w:r>
      <w:r>
        <w:rPr>
          <w:rFonts w:ascii="EB Garamond" w:hAnsi="EB Garamond" w:cs="EB Garamond"/>
          <w:b w:val="0"/>
          <w:i w:val="0"/>
          <w:color w:val="26282E"/>
          <w:sz w:val="21"/>
        </w:rPr>
        <w:t xml:space="preserve"> Mis-transcribed: the third regulation prong is that no significant purpose of the investment may be the production of income </w:t>
      </w:r>
      <w:r>
        <w:rPr>
          <w:rFonts w:ascii="EB Garamond" w:hAnsi="EB Garamond" w:cs="EB Garamond"/>
          <w:b/>
          <w:i w:val="0"/>
          <w:color w:val="26282E"/>
          <w:sz w:val="21"/>
        </w:rPr>
        <w:t>or appreciation</w:t>
      </w:r>
      <w:r>
        <w:rPr>
          <w:rFonts w:ascii="EB Garamond" w:hAnsi="EB Garamond" w:cs="EB Garamond"/>
          <w:b w:val="0"/>
          <w:i w:val="0"/>
          <w:color w:val="26282E"/>
          <w:sz w:val="21"/>
        </w:rPr>
        <w:t xml:space="preserve"> (and, for the charitable-purpose prong, that the purpose cannot be trade/business or political purposes for the </w:t>
      </w:r>
      <w:r>
        <w:rPr>
          <w:rFonts w:ascii="EB Garamond" w:hAnsi="EB Garamond" w:cs="EB Garamond"/>
          <w:b w:val="0"/>
          <w:i/>
          <w:color w:val="26282E"/>
          <w:sz w:val="21"/>
        </w:rPr>
        <w:t>foundation</w:t>
      </w:r>
      <w:r>
        <w:rPr>
          <w:rFonts w:ascii="EB Garamond" w:hAnsi="EB Garamond" w:cs="EB Garamond"/>
          <w:b w:val="0"/>
          <w:i w:val="0"/>
          <w:color w:val="26282E"/>
          <w:sz w:val="21"/>
        </w:rPr>
        <w:t>'s test); the doc's rendering conflates the LLC-purpose clause of state statutes (e.g., Vt. § 3312, Ill. 805 ILCS 180/37-10) with the regulation. Cite § 53.4944-3(b)(1)–(3) for the actual test.</w:t>
      </w:r>
    </w:p>
    <w:p>
      <w:pPr>
        <w:jc w:val="both"/>
      </w:pPr>
      <w:r>
        <w:rPr>
          <w:rFonts w:ascii="EB Garamond" w:hAnsi="EB Garamond" w:cs="EB Garamond"/>
          <w:b w:val="0"/>
          <w:i w:val="0"/>
          <w:color w:val="26282E"/>
          <w:sz w:val="21"/>
        </w:rPr>
        <w:t xml:space="preserve">13. </w:t>
      </w:r>
      <w:r>
        <w:rPr>
          <w:rFonts w:ascii="EB Garamond" w:hAnsi="EB Garamond" w:cs="EB Garamond"/>
          <w:b/>
          <w:i w:val="0"/>
          <w:color w:val="26282E"/>
          <w:sz w:val="21"/>
        </w:rPr>
        <w:t>Header framing: "Treason … Requires aid to a declared enemy nation … Death or minimum 5 years" (DISCLAIMER l.5).</w:t>
      </w:r>
      <w:r>
        <w:rPr>
          <w:rFonts w:ascii="EB Garamond" w:hAnsi="EB Garamond" w:cs="EB Garamond"/>
          <w:b w:val="0"/>
          <w:i w:val="0"/>
          <w:color w:val="26282E"/>
          <w:sz w:val="21"/>
        </w:rPr>
        <w:t xml:space="preserve"> The penalty line is right (18 U.S.C. § 2381), but "aid to a declared enemy </w:t>
      </w:r>
      <w:r>
        <w:rPr>
          <w:rFonts w:ascii="EB Garamond" w:hAnsi="EB Garamond" w:cs="EB Garamond"/>
          <w:b/>
          <w:i w:val="0"/>
          <w:color w:val="26282E"/>
          <w:sz w:val="21"/>
        </w:rPr>
        <w:t>nation</w:t>
      </w:r>
      <w:r>
        <w:rPr>
          <w:rFonts w:ascii="EB Garamond" w:hAnsi="EB Garamond" w:cs="EB Garamond"/>
          <w:b w:val="0"/>
          <w:i w:val="0"/>
          <w:color w:val="26282E"/>
          <w:sz w:val="21"/>
        </w:rPr>
        <w:t xml:space="preserve">" is too narrow/loose: the Constitution requires aid and comfort to "Enemies" — courts read this as parties with whom the U.S. is in </w:t>
      </w:r>
      <w:r>
        <w:rPr>
          <w:rFonts w:ascii="EB Garamond" w:hAnsi="EB Garamond" w:cs="EB Garamond"/>
          <w:b/>
          <w:i w:val="0"/>
          <w:color w:val="26282E"/>
          <w:sz w:val="21"/>
        </w:rPr>
        <w:t>declared or open war</w:t>
      </w:r>
      <w:r>
        <w:rPr>
          <w:rFonts w:ascii="EB Garamond" w:hAnsi="EB Garamond" w:cs="EB Garamond"/>
          <w:b w:val="0"/>
          <w:i w:val="0"/>
          <w:color w:val="26282E"/>
          <w:sz w:val="21"/>
        </w:rPr>
        <w:t xml:space="preserve"> (not necessarily a nation; cf. </w:t>
      </w:r>
      <w:r>
        <w:rPr>
          <w:rFonts w:ascii="EB Garamond" w:hAnsi="EB Garamond" w:cs="EB Garamond"/>
          <w:b w:val="0"/>
          <w:i/>
          <w:color w:val="26282E"/>
          <w:sz w:val="21"/>
        </w:rPr>
        <w:t>Kawakita</w:t>
      </w:r>
      <w:r>
        <w:rPr>
          <w:rFonts w:ascii="EB Garamond" w:hAnsi="EB Garamond" w:cs="EB Garamond"/>
          <w:b w:val="0"/>
          <w:i w:val="0"/>
          <w:color w:val="26282E"/>
          <w:sz w:val="21"/>
        </w:rPr>
        <w:t xml:space="preserve">). Also omitted: the </w:t>
      </w:r>
      <w:r>
        <w:rPr>
          <w:rFonts w:ascii="EB Garamond" w:hAnsi="EB Garamond" w:cs="EB Garamond"/>
          <w:b/>
          <w:i w:val="0"/>
          <w:color w:val="26282E"/>
          <w:sz w:val="21"/>
        </w:rPr>
        <w:t>two-witness/same-overt-act</w:t>
      </w:r>
      <w:r>
        <w:rPr>
          <w:rFonts w:ascii="EB Garamond" w:hAnsi="EB Garamond" w:cs="EB Garamond"/>
          <w:b w:val="0"/>
          <w:i w:val="0"/>
          <w:color w:val="26282E"/>
          <w:sz w:val="21"/>
        </w:rPr>
        <w:t xml:space="preserve"> rule (art. III, § 3, cl. 1), which is the operative constraint and the reason the doc's implied linkage — "forming an L3C might expose me to treason" — is fantastical (§ 3.14).</w:t>
      </w:r>
    </w:p>
    <w:p>
      <w:pPr>
        <w:jc w:val="both"/>
      </w:pPr>
      <w:r>
        <w:rPr>
          <w:rFonts w:ascii="EB Garamond" w:hAnsi="EB Garamond" w:cs="EB Garamond"/>
          <w:b w:val="0"/>
          <w:i w:val="0"/>
          <w:color w:val="26282E"/>
          <w:sz w:val="21"/>
        </w:rPr>
        <w:t xml:space="preserve">14. </w:t>
      </w:r>
      <w:r>
        <w:rPr>
          <w:rFonts w:ascii="EB Garamond" w:hAnsi="EB Garamond" w:cs="EB Garamond"/>
          <w:b/>
          <w:i w:val="0"/>
          <w:color w:val="26282E"/>
          <w:sz w:val="21"/>
        </w:rPr>
        <w:t>Implicit thesis of the disclaimer doc — that declaring oneself a "Foreign Sovereign" and forming an L3C/tradename structure could implicate "Seditious Conspiracy &amp; Treason via L3C formation," or conversely shield one from it.</w:t>
      </w:r>
      <w:r>
        <w:rPr>
          <w:rFonts w:ascii="EB Garamond" w:hAnsi="EB Garamond" w:cs="EB Garamond"/>
          <w:b w:val="0"/>
          <w:i w:val="0"/>
          <w:color w:val="26282E"/>
          <w:sz w:val="21"/>
        </w:rPr>
        <w:t xml:space="preserve"> Neither. Seditious conspiracy requires an </w:t>
      </w:r>
      <w:r>
        <w:rPr>
          <w:rFonts w:ascii="EB Garamond" w:hAnsi="EB Garamond" w:cs="EB Garamond"/>
          <w:b/>
          <w:i w:val="0"/>
          <w:color w:val="26282E"/>
          <w:sz w:val="21"/>
        </w:rPr>
        <w:t>agreement by two or more persons to use force</w:t>
      </w:r>
      <w:r>
        <w:rPr>
          <w:rFonts w:ascii="EB Garamond" w:hAnsi="EB Garamond" w:cs="EB Garamond"/>
          <w:b w:val="0"/>
          <w:i w:val="0"/>
          <w:color w:val="26282E"/>
          <w:sz w:val="21"/>
        </w:rPr>
        <w:t xml:space="preserve"> against the U.S. government (18 U.S.C. § 2384); treason requires </w:t>
      </w:r>
      <w:r>
        <w:rPr>
          <w:rFonts w:ascii="EB Garamond" w:hAnsi="EB Garamond" w:cs="EB Garamond"/>
          <w:b/>
          <w:i w:val="0"/>
          <w:color w:val="26282E"/>
          <w:sz w:val="21"/>
        </w:rPr>
        <w:t>levying war or aiding enemies</w:t>
      </w:r>
      <w:r>
        <w:rPr>
          <w:rFonts w:ascii="EB Garamond" w:hAnsi="EB Garamond" w:cs="EB Garamond"/>
          <w:b w:val="0"/>
          <w:i w:val="0"/>
          <w:color w:val="26282E"/>
          <w:sz w:val="21"/>
        </w:rPr>
        <w:t xml:space="preserve"> proved by two witnesses to the same overt act (art. III, § 3). Paper filings, sovCit notices, and entity formation constitute neither; they merely waste court resources and, if pursued as liens/filings to obstruct, can themselves trigger prosecution under different statutes (e.g., 18 U.S.C. § 1521 — false liens against federal officers; § 875 — threats).</w:t>
      </w:r>
    </w:p>
    <w:p>
      <w:pPr>
        <w:pBdr>
          <w:bottom w:val="single" w:sz="6" w:space="1" w:color="B9975B"/>
        </w:pBdr>
      </w:pPr>
    </w:p>
    <w:p>
      <w:pPr>
        <w:keepNext/>
        <w:spacing w:before="240"/>
      </w:pPr>
      <w:r>
        <w:rPr>
          <w:rFonts w:ascii="EB Garamond" w:hAnsi="EB Garamond" w:cs="EB Garamond"/>
          <w:b/>
          <w:i w:val="0"/>
          <w:color w:val="1B2A41"/>
          <w:sz w:val="28"/>
        </w:rPr>
        <w:t>4. WHAT'S WORTH KEEPING — accurate passages worth preserving</w:t>
      </w:r>
    </w:p>
    <w:p>
      <w:pPr>
        <w:jc w:val="both"/>
      </w:pPr>
      <w:r>
        <w:rPr>
          <w:rFonts w:ascii="EB Garamond" w:hAnsi="EB Garamond" w:cs="EB Garamond"/>
          <w:b/>
          <w:i w:val="0"/>
          <w:color w:val="26282E"/>
          <w:sz w:val="21"/>
        </w:rPr>
        <w:t>Squatting or Adverse possession.md: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l.45–53 — general doctrine: ejectment, statutes of limitations, the five common-law elements,</w:t>
      </w:r>
    </w:p>
    <w:p>
      <w:pPr>
        <w:jc w:val="both"/>
      </w:pPr>
      <w:r>
        <w:rPr>
          <w:rFonts w:ascii="EB Garamond" w:hAnsi="EB Garamond" w:cs="EB Garamond"/>
          <w:b w:val="0"/>
          <w:i w:val="0"/>
          <w:color w:val="26282E"/>
          <w:sz w:val="21"/>
        </w:rPr>
        <w:t>chattel adverse possession (works of art) — clean textbook summary.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l.63–69 — English lineage: Limitation Act 1623, real-action cutoffs, *nullum tempus occurrit</w:t>
      </w:r>
    </w:p>
    <w:p>
      <w:pPr>
        <w:jc w:val="both"/>
      </w:pPr>
      <w:r>
        <w:rPr>
          <w:rFonts w:ascii="EB Garamond" w:hAnsi="EB Garamond" w:cs="EB Garamond"/>
          <w:b w:val="0"/>
          <w:i w:val="0"/>
          <w:color w:val="26282E"/>
          <w:sz w:val="21"/>
        </w:rPr>
        <w:t>regi* and government-land immunity — historically accurate and useful context.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l.73–103 — England &amp; Wales modern law: LRA 2002 sch. 6 procedure (10-year application, notice,</w:t>
      </w:r>
    </w:p>
    <w:p>
      <w:pPr>
        <w:jc w:val="both"/>
      </w:pPr>
      <w:r>
        <w:rPr>
          <w:rFonts w:ascii="EB Garamond" w:hAnsi="EB Garamond" w:cs="EB Garamond"/>
          <w:b w:val="0"/>
          <w:i w:val="0"/>
          <w:color w:val="26282E"/>
          <w:sz w:val="21"/>
        </w:rPr>
        <w:t xml:space="preserve">counter-notice, two-year rule), </w:t>
      </w:r>
      <w:r>
        <w:rPr>
          <w:rFonts w:ascii="EB Garamond" w:hAnsi="EB Garamond" w:cs="EB Garamond"/>
          <w:b w:val="0"/>
          <w:i/>
          <w:color w:val="26282E"/>
          <w:sz w:val="21"/>
        </w:rPr>
        <w:t>Pye v Graham</w:t>
      </w:r>
      <w:r>
        <w:rPr>
          <w:rFonts w:ascii="EB Garamond" w:hAnsi="EB Garamond" w:cs="EB Garamond"/>
          <w:b w:val="0"/>
          <w:i w:val="0"/>
          <w:color w:val="26282E"/>
          <w:sz w:val="21"/>
        </w:rPr>
        <w:t xml:space="preserve"> margin-of-appreciation holding, </w:t>
      </w:r>
      <w:r>
        <w:rPr>
          <w:rFonts w:ascii="EB Garamond" w:hAnsi="EB Garamond" w:cs="EB Garamond"/>
          <w:b w:val="0"/>
          <w:i/>
          <w:color w:val="26282E"/>
          <w:sz w:val="21"/>
        </w:rPr>
        <w:t>Best v Chief Land Registrar</w:t>
      </w:r>
      <w:r>
        <w:rPr>
          <w:rFonts w:ascii="EB Garamond" w:hAnsi="EB Garamond" w:cs="EB Garamond"/>
          <w:b w:val="0"/>
          <w:i w:val="0"/>
          <w:color w:val="26282E"/>
          <w:sz w:val="21"/>
        </w:rPr>
        <w:t xml:space="preserve"> (criminal squatting ≠ bar to title) — accurate comparative law.</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l.109–123 — US disseisor requirements + additional elements (color of title, claim of right,</w:t>
      </w:r>
    </w:p>
    <w:p>
      <w:pPr>
        <w:jc w:val="both"/>
      </w:pPr>
      <w:r>
        <w:rPr>
          <w:rFonts w:ascii="EB Garamond" w:hAnsi="EB Garamond" w:cs="EB Garamond"/>
          <w:b w:val="0"/>
          <w:i w:val="0"/>
          <w:color w:val="26282E"/>
          <w:sz w:val="21"/>
        </w:rPr>
        <w:t>Maine Doctrine, taxes) — accurate general US law.</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l.127–133 — the 2008 NY amendments narrative and </w:t>
      </w:r>
      <w:r>
        <w:rPr>
          <w:rFonts w:ascii="EB Garamond" w:hAnsi="EB Garamond" w:cs="EB Garamond"/>
          <w:b w:val="0"/>
          <w:i/>
          <w:color w:val="26282E"/>
          <w:sz w:val="21"/>
        </w:rPr>
        <w:t>Hudson Square Hotel</w:t>
      </w:r>
      <w:r>
        <w:rPr>
          <w:rFonts w:ascii="EB Garamond" w:hAnsi="EB Garamond" w:cs="EB Garamond"/>
          <w:b w:val="0"/>
          <w:i w:val="0"/>
          <w:color w:val="26282E"/>
          <w:sz w:val="21"/>
        </w:rPr>
        <w:t xml:space="preserve"> description (see §3.9–10</w:t>
      </w:r>
    </w:p>
    <w:p>
      <w:pPr>
        <w:jc w:val="both"/>
      </w:pPr>
      <w:r>
        <w:rPr>
          <w:rFonts w:ascii="EB Garamond" w:hAnsi="EB Garamond" w:cs="EB Garamond"/>
          <w:b w:val="0"/>
          <w:i w:val="0"/>
          <w:color w:val="26282E"/>
          <w:sz w:val="21"/>
        </w:rPr>
        <w:t>caveats) — this is the exhibit's NY-relevant core; worth keeping with corrected citations.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l.159–163 — "squatter's rights" has </w:t>
      </w:r>
      <w:r>
        <w:rPr>
          <w:rFonts w:ascii="EB Garamond" w:hAnsi="EB Garamond" w:cs="EB Garamond"/>
          <w:b/>
          <w:i w:val="0"/>
          <w:color w:val="26282E"/>
          <w:sz w:val="21"/>
        </w:rPr>
        <w:t>no precise legal meaning</w:t>
      </w:r>
      <w:r>
        <w:rPr>
          <w:rFonts w:ascii="EB Garamond" w:hAnsi="EB Garamond" w:cs="EB Garamond"/>
          <w:b w:val="0"/>
          <w:i w:val="0"/>
          <w:color w:val="26282E"/>
          <w:sz w:val="21"/>
        </w:rPr>
        <w:t>; the clock-reset example;</w:t>
      </w:r>
    </w:p>
    <w:p>
      <w:pPr>
        <w:jc w:val="both"/>
      </w:pPr>
      <w:r>
        <w:rPr>
          <w:rFonts w:ascii="EB Garamond" w:hAnsi="EB Garamond" w:cs="EB Garamond"/>
          <w:b w:val="0"/>
          <w:i w:val="0"/>
          <w:color w:val="26282E"/>
          <w:sz w:val="21"/>
        </w:rPr>
        <w:t>tacking/privity — the most valuable passage for the exhibit's squatter-coverage section, and exactly what the 2024 § 711 amendment clarified.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l.175–183 — the four utilitarian justifications (title-curing, defect-curing, productive use,</w:t>
      </w:r>
    </w:p>
    <w:p>
      <w:pPr>
        <w:jc w:val="both"/>
      </w:pPr>
      <w:r>
        <w:rPr>
          <w:rFonts w:ascii="EB Garamond" w:hAnsi="EB Garamond" w:cs="EB Garamond"/>
          <w:b w:val="0"/>
          <w:i w:val="0"/>
          <w:color w:val="26282E"/>
          <w:sz w:val="21"/>
        </w:rPr>
        <w:t>personhood/efficiency) — good scholarship summary.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l.371–457 — Philippine acquisitive/extinctive prescription — accurate comparative material if the</w:t>
      </w:r>
    </w:p>
    <w:p>
      <w:pPr>
        <w:jc w:val="both"/>
      </w:pPr>
      <w:r>
        <w:rPr>
          <w:rFonts w:ascii="EB Garamond" w:hAnsi="EB Garamond" w:cs="EB Garamond"/>
          <w:b w:val="0"/>
          <w:i w:val="0"/>
          <w:color w:val="26282E"/>
          <w:sz w:val="21"/>
        </w:rPr>
        <w:t>exhibit keeps comparative scope.</w:t>
      </w:r>
    </w:p>
    <w:p>
      <w:pPr>
        <w:jc w:val="both"/>
      </w:pPr>
      <w:r>
        <w:rPr>
          <w:rFonts w:ascii="EB Garamond" w:hAnsi="EB Garamond" w:cs="EB Garamond"/>
          <w:b/>
          <w:i w:val="0"/>
          <w:color w:val="26282E"/>
          <w:sz w:val="21"/>
        </w:rPr>
        <w:t>DISCLAIMER — Seditious Conspiracy &amp; Treason via L3C formation.md: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l.3–7 — the § 2384 / art. III § 3 headline block: statute numbers, penalties, "crime is the</w:t>
      </w:r>
    </w:p>
    <w:p>
      <w:pPr>
        <w:jc w:val="both"/>
      </w:pPr>
      <w:r>
        <w:rPr>
          <w:rFonts w:ascii="EB Garamond" w:hAnsi="EB Garamond" w:cs="EB Garamond"/>
          <w:b w:val="0"/>
          <w:i w:val="0"/>
          <w:color w:val="26282E"/>
          <w:sz w:val="21"/>
        </w:rPr>
        <w:t>agreement itself," First Amendment line ("protects criticism, not plans to attack"), evidence types — genuinely accurate and useful.</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l.21–33 — NY public-benefit-corporation law: NY Const. art. X § 5; </w:t>
      </w:r>
      <w:r>
        <w:rPr>
          <w:rFonts w:ascii="EB Garamond" w:hAnsi="EB Garamond" w:cs="EB Garamond"/>
          <w:b w:val="0"/>
          <w:i/>
          <w:color w:val="26282E"/>
          <w:sz w:val="21"/>
        </w:rPr>
        <w:t>City of Rye v. MTA</w:t>
      </w:r>
      <w:r>
        <w:rPr>
          <w:rFonts w:ascii="EB Garamond" w:hAnsi="EB Garamond" w:cs="EB Garamond"/>
          <w:b w:val="0"/>
          <w:i w:val="0"/>
          <w:color w:val="26282E"/>
          <w:sz w:val="21"/>
        </w:rPr>
        <w:t>, 24</w:t>
      </w:r>
    </w:p>
    <w:p>
      <w:pPr>
        <w:jc w:val="both"/>
      </w:pPr>
      <w:r>
        <w:rPr>
          <w:rFonts w:ascii="EB Garamond" w:hAnsi="EB Garamond" w:cs="EB Garamond"/>
          <w:b w:val="0"/>
          <w:i w:val="0"/>
          <w:color w:val="26282E"/>
          <w:sz w:val="21"/>
        </w:rPr>
        <w:t xml:space="preserve">N.Y.2d 627 (1969); </w:t>
      </w:r>
      <w:r>
        <w:rPr>
          <w:rFonts w:ascii="EB Garamond" w:hAnsi="EB Garamond" w:cs="EB Garamond"/>
          <w:b w:val="0"/>
          <w:i/>
          <w:color w:val="26282E"/>
          <w:sz w:val="21"/>
        </w:rPr>
        <w:t>Schulz v. State</w:t>
      </w:r>
      <w:r>
        <w:rPr>
          <w:rFonts w:ascii="EB Garamond" w:hAnsi="EB Garamond" w:cs="EB Garamond"/>
          <w:b w:val="0"/>
          <w:i w:val="0"/>
          <w:color w:val="26282E"/>
          <w:sz w:val="21"/>
        </w:rPr>
        <w:t xml:space="preserve">, 84 N.Y.2d 231 (1994); </w:t>
      </w:r>
      <w:r>
        <w:rPr>
          <w:rFonts w:ascii="EB Garamond" w:hAnsi="EB Garamond" w:cs="EB Garamond"/>
          <w:b w:val="0"/>
          <w:i/>
          <w:color w:val="26282E"/>
          <w:sz w:val="21"/>
        </w:rPr>
        <w:t>Wein v. State</w:t>
      </w:r>
      <w:r>
        <w:rPr>
          <w:rFonts w:ascii="EB Garamond" w:hAnsi="EB Garamond" w:cs="EB Garamond"/>
          <w:b w:val="0"/>
          <w:i w:val="0"/>
          <w:color w:val="26282E"/>
          <w:sz w:val="21"/>
        </w:rPr>
        <w:t>; ABO 2018 figures (47 state / 531 local authorities; $160.4B debt) — accurate and well-sourced.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l.35–45 — eminent domain primer: Grotius' </w:t>
      </w:r>
      <w:r>
        <w:rPr>
          <w:rFonts w:ascii="EB Garamond" w:hAnsi="EB Garamond" w:cs="EB Garamond"/>
          <w:b w:val="0"/>
          <w:i/>
          <w:color w:val="26282E"/>
          <w:sz w:val="21"/>
        </w:rPr>
        <w:t>dominium eminens</w:t>
      </w:r>
      <w:r>
        <w:rPr>
          <w:rFonts w:ascii="EB Garamond" w:hAnsi="EB Garamond" w:cs="EB Garamond"/>
          <w:b w:val="0"/>
          <w:i w:val="0"/>
          <w:color w:val="26282E"/>
          <w:sz w:val="21"/>
        </w:rPr>
        <w:t xml:space="preserve">, </w:t>
      </w:r>
      <w:r>
        <w:rPr>
          <w:rFonts w:ascii="EB Garamond" w:hAnsi="EB Garamond" w:cs="EB Garamond"/>
          <w:b w:val="0"/>
          <w:i/>
          <w:color w:val="26282E"/>
          <w:sz w:val="21"/>
        </w:rPr>
        <w:t>Berman</w:t>
      </w:r>
      <w:r>
        <w:rPr>
          <w:rFonts w:ascii="EB Garamond" w:hAnsi="EB Garamond" w:cs="EB Garamond"/>
          <w:b w:val="0"/>
          <w:i w:val="0"/>
          <w:color w:val="26282E"/>
          <w:sz w:val="21"/>
        </w:rPr>
        <w:t xml:space="preserve">, </w:t>
      </w:r>
      <w:r>
        <w:rPr>
          <w:rFonts w:ascii="EB Garamond" w:hAnsi="EB Garamond" w:cs="EB Garamond"/>
          <w:b w:val="0"/>
          <w:i/>
          <w:color w:val="26282E"/>
          <w:sz w:val="21"/>
        </w:rPr>
        <w:t>Midkiff</w:t>
      </w:r>
      <w:r>
        <w:rPr>
          <w:rFonts w:ascii="EB Garamond" w:hAnsi="EB Garamond" w:cs="EB Garamond"/>
          <w:b w:val="0"/>
          <w:i w:val="0"/>
          <w:color w:val="26282E"/>
          <w:sz w:val="21"/>
        </w:rPr>
        <w:t xml:space="preserve">, </w:t>
      </w:r>
      <w:r>
        <w:rPr>
          <w:rFonts w:ascii="EB Garamond" w:hAnsi="EB Garamond" w:cs="EB Garamond"/>
          <w:b w:val="0"/>
          <w:i/>
          <w:color w:val="26282E"/>
          <w:sz w:val="21"/>
        </w:rPr>
        <w:t>Kelo</w:t>
      </w:r>
      <w:r>
        <w:rPr>
          <w:rFonts w:ascii="EB Garamond" w:hAnsi="EB Garamond" w:cs="EB Garamond"/>
          <w:b w:val="0"/>
          <w:i w:val="0"/>
          <w:color w:val="26282E"/>
          <w:sz w:val="21"/>
        </w:rPr>
        <w:t>, just</w:t>
      </w:r>
    </w:p>
    <w:p>
      <w:pPr>
        <w:jc w:val="both"/>
      </w:pPr>
      <w:r>
        <w:rPr>
          <w:rFonts w:ascii="EB Garamond" w:hAnsi="EB Garamond" w:cs="EB Garamond"/>
          <w:b w:val="0"/>
          <w:i w:val="0"/>
          <w:color w:val="26282E"/>
          <w:sz w:val="21"/>
        </w:rPr>
        <w:t>compensation/severance-damages mechanics — accurate.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l.153–167, 187–213, 227–259 — the L3C explainer: definition, Lang origin, PRI mechanics</w:t>
      </w:r>
    </w:p>
    <w:p>
      <w:pPr>
        <w:jc w:val="both"/>
      </w:pPr>
      <w:r>
        <w:rPr>
          <w:rFonts w:ascii="EB Garamond" w:hAnsi="EB Garamond" w:cs="EB Garamond"/>
          <w:b w:val="0"/>
          <w:i w:val="0"/>
          <w:color w:val="26282E"/>
          <w:sz w:val="21"/>
        </w:rPr>
        <w:t>(§ 53.4944-3), PLR costs, funding segments, SEEDR example — keep as the "what an L3C actually is" section (correct the two errors in §3.11–12).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l.263–287 — L3C pros/cons tables (PLR cost, IRS non-confirmation, "a well-crafted LLC can do the</w:t>
      </w:r>
    </w:p>
    <w:p>
      <w:pPr>
        <w:jc w:val="both"/>
      </w:pPr>
      <w:r>
        <w:rPr>
          <w:rFonts w:ascii="EB Garamond" w:hAnsi="EB Garamond" w:cs="EB Garamond"/>
          <w:b w:val="0"/>
          <w:i w:val="0"/>
          <w:color w:val="26282E"/>
          <w:sz w:val="21"/>
        </w:rPr>
        <w:t>same") — the honest critique that undercuts the doc's own exotic framing.</w:t>
      </w:r>
    </w:p>
    <w:p>
      <w:pPr>
        <w:jc w:val="both"/>
      </w:pPr>
      <w:r>
        <w:rPr>
          <w:rFonts w:ascii="EB Garamond" w:hAnsi="EB Garamond" w:cs="EB Garamond"/>
          <w:b/>
          <w:i w:val="0"/>
          <w:color w:val="26282E"/>
          <w:sz w:val="21"/>
        </w:rPr>
        <w:t>VERSION 1 variant:</w:t>
      </w:r>
      <w:r>
        <w:rPr>
          <w:rFonts w:ascii="EB Garamond" w:hAnsi="EB Garamond" w:cs="EB Garamond"/>
          <w:b w:val="0"/>
          <w:i w:val="0"/>
          <w:color w:val="26282E"/>
          <w:sz w:val="21"/>
        </w:rPr>
        <w:t xml:space="preserve"> the NYC Corporation Counsel / Law Department description (accurate, 1849 charter origin, division list) is the only unique material worth preserving.</w:t>
      </w:r>
    </w:p>
    <w:p>
      <w:pPr>
        <w:pBdr>
          <w:bottom w:val="single" w:sz="6" w:space="1" w:color="B9975B"/>
        </w:pBdr>
      </w:pPr>
    </w:p>
    <w:p>
      <w:pPr>
        <w:keepNext/>
        <w:spacing w:before="240"/>
      </w:pPr>
      <w:r>
        <w:rPr>
          <w:rFonts w:ascii="EB Garamond" w:hAnsi="EB Garamond" w:cs="EB Garamond"/>
          <w:b/>
          <w:i w:val="0"/>
          <w:color w:val="1B2A41"/>
          <w:sz w:val="28"/>
        </w:rPr>
        <w:t>5. IMAGES</w:t>
      </w:r>
    </w:p>
    <w:p>
      <w:pPr>
        <w:jc w:val="both"/>
      </w:pPr>
      <w:r>
        <w:rPr>
          <w:rFonts w:ascii="EB Garamond" w:hAnsi="EB Garamond" w:cs="EB Garamond"/>
          <w:b w:val="0"/>
          <w:i w:val="0"/>
          <w:color w:val="26282E"/>
          <w:sz w:val="21"/>
        </w:rPr>
        <w:t xml:space="preserve">Downloaded to </w:t>
      </w:r>
      <w:r>
        <w:rPr>
          <w:rFonts w:ascii="Montserrat" w:hAnsi="Montserrat" w:cs="Montserrat"/>
          <w:b w:val="0"/>
          <w:i w:val="0"/>
          <w:color w:val="3A4356"/>
          <w:sz w:val="16"/>
        </w:rPr>
        <w:t>/app/data/workspaces/fictiv/images/</w:t>
      </w:r>
      <w:r>
        <w:rPr>
          <w:rFonts w:ascii="EB Garamond" w:hAnsi="EB Garamond" w:cs="EB Garamond"/>
          <w:b w:val="0"/>
          <w:i w:val="0"/>
          <w:color w:val="26282E"/>
          <w:sz w:val="21"/>
        </w:rPr>
        <w:t xml:space="preserve"> and recorded in </w:t>
      </w:r>
      <w:r>
        <w:rPr>
          <w:rFonts w:ascii="Montserrat" w:hAnsi="Montserrat" w:cs="Montserrat"/>
          <w:b w:val="0"/>
          <w:i w:val="0"/>
          <w:color w:val="3A4356"/>
          <w:sz w:val="16"/>
        </w:rPr>
        <w:t>/app/data/workspaces/fictiv/images/manifest.json</w:t>
      </w:r>
      <w:r>
        <w:rPr>
          <w:rFonts w:ascii="EB Garamond" w:hAnsi="EB Garamond" w:cs="EB Garamond"/>
          <w:b w:val="0"/>
          <w:i w:val="0"/>
          <w:color w:val="26282E"/>
          <w:sz w:val="21"/>
        </w:rPr>
        <w:t xml:space="preserve"> (new file; appends nothing — none existed):</w:t>
      </w:r>
    </w:p>
    <w:tbl>
      <w:tblPr>
        <w:tblW w:type="auto" w:w="0"/>
        <w:tblLook w:firstColumn="1" w:firstRow="1" w:lastColumn="0" w:lastRow="0" w:noHBand="0" w:noVBand="1" w:val="04A0"/>
      </w:tblPr>
      <w:tblGrid>
        <w:gridCol w:w="2340"/>
        <w:gridCol w:w="2340"/>
        <w:gridCol w:w="2340"/>
        <w:gridCol w:w="2340"/>
      </w:tblGrid>
      <w:tr>
        <w:tc>
          <w:tcPr>
            <w:tcW w:type="dxa" w:w="2340"/>
            <w:shd w:val="clear" w:fill="EFEBE0"/>
          </w:tcPr>
          <w:p>
            <w:r>
              <w:rPr>
                <w:rFonts w:ascii="Montserrat" w:hAnsi="Montserrat" w:cs="Montserrat"/>
                <w:b/>
                <w:i w:val="0"/>
                <w:color w:val="1B2A41"/>
                <w:sz w:val="19"/>
              </w:rPr>
              <w:t>id</w:t>
            </w:r>
          </w:p>
        </w:tc>
        <w:tc>
          <w:tcPr>
            <w:tcW w:type="dxa" w:w="2340"/>
            <w:shd w:val="clear" w:fill="EFEBE0"/>
          </w:tcPr>
          <w:p>
            <w:r>
              <w:rPr>
                <w:rFonts w:ascii="Montserrat" w:hAnsi="Montserrat" w:cs="Montserrat"/>
                <w:b/>
                <w:i w:val="0"/>
                <w:color w:val="1B2A41"/>
                <w:sz w:val="19"/>
              </w:rPr>
              <w:t>file</w:t>
            </w:r>
          </w:p>
        </w:tc>
        <w:tc>
          <w:tcPr>
            <w:tcW w:type="dxa" w:w="2340"/>
            <w:shd w:val="clear" w:fill="EFEBE0"/>
          </w:tcPr>
          <w:p>
            <w:r>
              <w:rPr>
                <w:rFonts w:ascii="Montserrat" w:hAnsi="Montserrat" w:cs="Montserrat"/>
                <w:b/>
                <w:i w:val="0"/>
                <w:color w:val="1B2A41"/>
                <w:sz w:val="19"/>
              </w:rPr>
              <w:t>subject</w:t>
            </w:r>
          </w:p>
        </w:tc>
        <w:tc>
          <w:tcPr>
            <w:tcW w:type="dxa" w:w="2340"/>
            <w:shd w:val="clear" w:fill="EFEBE0"/>
          </w:tcPr>
          <w:p>
            <w:r>
              <w:rPr>
                <w:rFonts w:ascii="Montserrat" w:hAnsi="Montserrat" w:cs="Montserrat"/>
                <w:b/>
                <w:i w:val="0"/>
                <w:color w:val="1B2A41"/>
                <w:sz w:val="19"/>
              </w:rPr>
              <w:t>license</w:t>
            </w:r>
          </w:p>
        </w:tc>
      </w:tr>
      <w:tr>
        <w:tc>
          <w:tcPr>
            <w:tcW w:type="dxa" w:w="2340"/>
          </w:tcPr>
          <w:p>
            <w:r>
              <w:rPr>
                <w:rFonts w:ascii="EB Garamond" w:hAnsi="EB Garamond" w:cs="EB Garamond"/>
                <w:b w:val="0"/>
                <w:i w:val="0"/>
                <w:color w:val="26282E"/>
                <w:sz w:val="19"/>
              </w:rPr>
              <w:t>constitution-article-iii</w:t>
            </w:r>
          </w:p>
        </w:tc>
        <w:tc>
          <w:tcPr>
            <w:tcW w:type="dxa" w:w="2340"/>
          </w:tcPr>
          <w:p>
            <w:r>
              <w:rPr>
                <w:rFonts w:ascii="EB Garamond" w:hAnsi="EB Garamond" w:cs="EB Garamond"/>
                <w:b w:val="0"/>
                <w:i w:val="0"/>
                <w:color w:val="26282E"/>
                <w:sz w:val="19"/>
              </w:rPr>
              <w:t>constitution-article-iii.jpg</w:t>
            </w:r>
          </w:p>
        </w:tc>
        <w:tc>
          <w:tcPr>
            <w:tcW w:type="dxa" w:w="2340"/>
          </w:tcPr>
          <w:p>
            <w:r>
              <w:rPr>
                <w:rFonts w:ascii="EB Garamond" w:hAnsi="EB Garamond" w:cs="EB Garamond"/>
                <w:b w:val="0"/>
                <w:i w:val="0"/>
                <w:color w:val="26282E"/>
                <w:sz w:val="19"/>
              </w:rPr>
              <w:t>Page 4 of the engrossed U.S. Constitution (the Articles III–VII page; Art. III § 3 Treason Clause)</w:t>
            </w:r>
          </w:p>
        </w:tc>
        <w:tc>
          <w:tcPr>
            <w:tcW w:type="dxa" w:w="2340"/>
          </w:tcPr>
          <w:p>
            <w:r>
              <w:rPr>
                <w:rFonts w:ascii="EB Garamond" w:hAnsi="EB Garamond" w:cs="EB Garamond"/>
                <w:b w:val="0"/>
                <w:i w:val="0"/>
                <w:color w:val="26282E"/>
                <w:sz w:val="19"/>
              </w:rPr>
              <w:t>Public domain (NARA, via Wikimedia Commons)</w:t>
            </w:r>
          </w:p>
        </w:tc>
      </w:tr>
      <w:tr>
        <w:tc>
          <w:tcPr>
            <w:tcW w:type="dxa" w:w="2340"/>
          </w:tcPr>
          <w:p>
            <w:r>
              <w:rPr>
                <w:rFonts w:ascii="EB Garamond" w:hAnsi="EB Garamond" w:cs="EB Garamond"/>
                <w:b w:val="0"/>
                <w:i w:val="0"/>
                <w:color w:val="26282E"/>
                <w:sz w:val="19"/>
              </w:rPr>
              <w:t>homestead-sod-house-1886</w:t>
            </w:r>
          </w:p>
        </w:tc>
        <w:tc>
          <w:tcPr>
            <w:tcW w:type="dxa" w:w="2340"/>
          </w:tcPr>
          <w:p>
            <w:r>
              <w:rPr>
                <w:rFonts w:ascii="EB Garamond" w:hAnsi="EB Garamond" w:cs="EB Garamond"/>
                <w:b w:val="0"/>
                <w:i w:val="0"/>
                <w:color w:val="26282E"/>
                <w:sz w:val="19"/>
              </w:rPr>
              <w:t>homestead-sod-house-1886.jpg</w:t>
            </w:r>
          </w:p>
        </w:tc>
        <w:tc>
          <w:tcPr>
            <w:tcW w:type="dxa" w:w="2340"/>
          </w:tcPr>
          <w:p>
            <w:r>
              <w:rPr>
                <w:rFonts w:ascii="EB Garamond" w:hAnsi="EB Garamond" w:cs="EB Garamond"/>
                <w:b w:val="0"/>
                <w:i w:val="0"/>
                <w:color w:val="26282E"/>
                <w:sz w:val="19"/>
              </w:rPr>
              <w:t>Solomon Butcher photo: Sylvester Rawding family, sod-house homestead, Custer Co., NE (land-occupation/homestead-era visual)</w:t>
            </w:r>
          </w:p>
        </w:tc>
        <w:tc>
          <w:tcPr>
            <w:tcW w:type="dxa" w:w="2340"/>
          </w:tcPr>
          <w:p>
            <w:r>
              <w:rPr>
                <w:rFonts w:ascii="EB Garamond" w:hAnsi="EB Garamond" w:cs="EB Garamond"/>
                <w:b w:val="0"/>
                <w:i w:val="0"/>
                <w:color w:val="26282E"/>
                <w:sz w:val="19"/>
              </w:rPr>
              <w:t>Public domain (Library of Congress)</w:t>
            </w:r>
          </w:p>
        </w:tc>
      </w:tr>
      <w:tr>
        <w:tc>
          <w:tcPr>
            <w:tcW w:type="dxa" w:w="2340"/>
          </w:tcPr>
          <w:p>
            <w:r>
              <w:rPr>
                <w:rFonts w:ascii="EB Garamond" w:hAnsi="EB Garamond" w:cs="EB Garamond"/>
                <w:b w:val="0"/>
                <w:i w:val="0"/>
                <w:color w:val="26282E"/>
                <w:sz w:val="19"/>
              </w:rPr>
              <w:t>legal-gavel</w:t>
            </w:r>
          </w:p>
        </w:tc>
        <w:tc>
          <w:tcPr>
            <w:tcW w:type="dxa" w:w="2340"/>
          </w:tcPr>
          <w:p>
            <w:r>
              <w:rPr>
                <w:rFonts w:ascii="EB Garamond" w:hAnsi="EB Garamond" w:cs="EB Garamond"/>
                <w:b w:val="0"/>
                <w:i w:val="0"/>
                <w:color w:val="26282E"/>
                <w:sz w:val="19"/>
              </w:rPr>
              <w:t>legal-gavel.jpg</w:t>
            </w:r>
          </w:p>
        </w:tc>
        <w:tc>
          <w:tcPr>
            <w:tcW w:type="dxa" w:w="2340"/>
          </w:tcPr>
          <w:p>
            <w:r>
              <w:rPr>
                <w:rFonts w:ascii="EB Garamond" w:hAnsi="EB Garamond" w:cs="EB Garamond"/>
                <w:b w:val="0"/>
                <w:i w:val="0"/>
                <w:color w:val="26282E"/>
                <w:sz w:val="19"/>
              </w:rPr>
              <w:t>Courtroom gavel (courthouse/judiciary symbol)</w:t>
            </w:r>
          </w:p>
        </w:tc>
        <w:tc>
          <w:tcPr>
            <w:tcW w:type="dxa" w:w="2340"/>
          </w:tcPr>
          <w:p>
            <w:r>
              <w:rPr>
                <w:rFonts w:ascii="EB Garamond" w:hAnsi="EB Garamond" w:cs="EB Garamond"/>
                <w:b w:val="0"/>
                <w:i w:val="0"/>
                <w:color w:val="26282E"/>
                <w:sz w:val="19"/>
              </w:rPr>
              <w:t>CC BY 2.0 (Blogtrepreneur)</w:t>
            </w:r>
          </w:p>
        </w:tc>
      </w:tr>
      <w:tr>
        <w:tc>
          <w:tcPr>
            <w:tcW w:type="dxa" w:w="2340"/>
          </w:tcPr>
          <w:p>
            <w:r>
              <w:rPr>
                <w:rFonts w:ascii="EB Garamond" w:hAnsi="EB Garamond" w:cs="EB Garamond"/>
                <w:b w:val="0"/>
                <w:i w:val="0"/>
                <w:color w:val="26282E"/>
                <w:sz w:val="19"/>
              </w:rPr>
              <w:t>us-code-law-book</w:t>
            </w:r>
          </w:p>
        </w:tc>
        <w:tc>
          <w:tcPr>
            <w:tcW w:type="dxa" w:w="2340"/>
          </w:tcPr>
          <w:p>
            <w:r>
              <w:rPr>
                <w:rFonts w:ascii="EB Garamond" w:hAnsi="EB Garamond" w:cs="EB Garamond"/>
                <w:b w:val="0"/>
                <w:i w:val="0"/>
                <w:color w:val="26282E"/>
                <w:sz w:val="19"/>
              </w:rPr>
              <w:t>us-code-law-book.jpg</w:t>
            </w:r>
          </w:p>
        </w:tc>
        <w:tc>
          <w:tcPr>
            <w:tcW w:type="dxa" w:w="2340"/>
          </w:tcPr>
          <w:p>
            <w:r>
              <w:rPr>
                <w:rFonts w:ascii="EB Garamond" w:hAnsi="EB Garamond" w:cs="EB Garamond"/>
                <w:b w:val="0"/>
                <w:i w:val="0"/>
                <w:color w:val="26282E"/>
                <w:sz w:val="19"/>
              </w:rPr>
              <w:t>Printed United States Code volume (Title 18 sits in the US Code; § 2384 is in Title 18)</w:t>
            </w:r>
          </w:p>
        </w:tc>
        <w:tc>
          <w:tcPr>
            <w:tcW w:type="dxa" w:w="2340"/>
          </w:tcPr>
          <w:p>
            <w:r>
              <w:rPr>
                <w:rFonts w:ascii="EB Garamond" w:hAnsi="EB Garamond" w:cs="EB Garamond"/>
                <w:b w:val="0"/>
                <w:i w:val="0"/>
                <w:color w:val="26282E"/>
                <w:sz w:val="19"/>
              </w:rPr>
              <w:t>CC BY-SA 3.0 (Tony Webster)</w:t>
            </w:r>
          </w:p>
        </w:tc>
      </w:tr>
    </w:tbl>
    <w:p>
      <w:pPr>
        <w:jc w:val="both"/>
      </w:pPr>
      <w:r>
        <w:rPr>
          <w:rFonts w:ascii="EB Garamond" w:hAnsi="EB Garamond" w:cs="EB Garamond"/>
          <w:b w:val="0"/>
          <w:i w:val="0"/>
          <w:color w:val="26282E"/>
          <w:sz w:val="21"/>
        </w:rPr>
        <w:t>All four files verified as real JPEGs on disk (magic-byte check) — 3.6 MB / 3.1 MB / 5.7 MB / 1.9 MB. A fifth slot is available if a portrait of a § 2384 defendant is desired, but respectful-exhibit considerations counsel against booking-photo reuse; the four above cover the requested categories (Constitution page, homestead/land photo, courthouse/gavel, US Code volume).</w:t>
      </w:r>
    </w:p>
    <w:p>
      <w:pPr>
        <w:jc w:val="center"/>
      </w:pPr>
      <w:r>
        <w:drawing>
          <wp:inline xmlns:a="http://schemas.openxmlformats.org/drawingml/2006/main" xmlns:pic="http://schemas.openxmlformats.org/drawingml/2006/picture">
            <wp:extent cx="4206240" cy="5098392"/>
            <wp:docPr id="1" name="Picture 1"/>
            <wp:cNvGraphicFramePr>
              <a:graphicFrameLocks noChangeAspect="1"/>
            </wp:cNvGraphicFramePr>
            <a:graphic>
              <a:graphicData uri="http://schemas.openxmlformats.org/drawingml/2006/picture">
                <pic:pic>
                  <pic:nvPicPr>
                    <pic:cNvPr id="0" name="constitution-article-iii.jpg"/>
                    <pic:cNvPicPr/>
                  </pic:nvPicPr>
                  <pic:blipFill>
                    <a:blip r:embed="rId14"/>
                    <a:stretch>
                      <a:fillRect/>
                    </a:stretch>
                  </pic:blipFill>
                  <pic:spPr>
                    <a:xfrm>
                      <a:off x="0" y="0"/>
                      <a:ext cx="4206240" cy="5098392"/>
                    </a:xfrm>
                    <a:prstGeom prst="rect"/>
                  </pic:spPr>
                </pic:pic>
              </a:graphicData>
            </a:graphic>
          </wp:inline>
        </w:drawing>
      </w:r>
    </w:p>
    <w:p>
      <w:pPr>
        <w:jc w:val="center"/>
      </w:pPr>
      <w:r>
        <w:rPr>
          <w:rFonts w:ascii="EB Garamond" w:hAnsi="EB Garamond" w:cs="EB Garamond"/>
          <w:b w:val="0"/>
          <w:i/>
          <w:color w:val="4A5568"/>
          <w:sz w:val="18"/>
        </w:rPr>
        <w:t>constitution-article-iii</w:t>
      </w:r>
    </w:p>
    <w:p>
      <w:pPr>
        <w:jc w:val="center"/>
      </w:pPr>
      <w:r>
        <w:drawing>
          <wp:inline xmlns:a="http://schemas.openxmlformats.org/drawingml/2006/main" xmlns:pic="http://schemas.openxmlformats.org/drawingml/2006/picture">
            <wp:extent cx="4206240" cy="3187275"/>
            <wp:docPr id="2" name="Picture 2"/>
            <wp:cNvGraphicFramePr>
              <a:graphicFrameLocks noChangeAspect="1"/>
            </wp:cNvGraphicFramePr>
            <a:graphic>
              <a:graphicData uri="http://schemas.openxmlformats.org/drawingml/2006/picture">
                <pic:pic>
                  <pic:nvPicPr>
                    <pic:cNvPr id="0" name="legal-gavel.jpg"/>
                    <pic:cNvPicPr/>
                  </pic:nvPicPr>
                  <pic:blipFill>
                    <a:blip r:embed="rId15"/>
                    <a:stretch>
                      <a:fillRect/>
                    </a:stretch>
                  </pic:blipFill>
                  <pic:spPr>
                    <a:xfrm>
                      <a:off x="0" y="0"/>
                      <a:ext cx="4206240" cy="3187275"/>
                    </a:xfrm>
                    <a:prstGeom prst="rect"/>
                  </pic:spPr>
                </pic:pic>
              </a:graphicData>
            </a:graphic>
          </wp:inline>
        </w:drawing>
      </w:r>
    </w:p>
    <w:p>
      <w:pPr>
        <w:jc w:val="center"/>
      </w:pPr>
      <w:r>
        <w:rPr>
          <w:rFonts w:ascii="EB Garamond" w:hAnsi="EB Garamond" w:cs="EB Garamond"/>
          <w:b w:val="0"/>
          <w:i/>
          <w:color w:val="4A5568"/>
          <w:sz w:val="18"/>
        </w:rPr>
        <w:t>legal-gavel</w:t>
      </w:r>
    </w:p>
    <w:p>
      <w:pPr>
        <w:jc w:val="center"/>
      </w:pPr>
      <w:r>
        <w:drawing>
          <wp:inline xmlns:a="http://schemas.openxmlformats.org/drawingml/2006/main" xmlns:pic="http://schemas.openxmlformats.org/drawingml/2006/picture">
            <wp:extent cx="4206240" cy="2725523"/>
            <wp:docPr id="3" name="Picture 3"/>
            <wp:cNvGraphicFramePr>
              <a:graphicFrameLocks noChangeAspect="1"/>
            </wp:cNvGraphicFramePr>
            <a:graphic>
              <a:graphicData uri="http://schemas.openxmlformats.org/drawingml/2006/picture">
                <pic:pic>
                  <pic:nvPicPr>
                    <pic:cNvPr id="0" name="us-code-law-book.jpg"/>
                    <pic:cNvPicPr/>
                  </pic:nvPicPr>
                  <pic:blipFill>
                    <a:blip r:embed="rId16"/>
                    <a:stretch>
                      <a:fillRect/>
                    </a:stretch>
                  </pic:blipFill>
                  <pic:spPr>
                    <a:xfrm>
                      <a:off x="0" y="0"/>
                      <a:ext cx="4206240" cy="2725523"/>
                    </a:xfrm>
                    <a:prstGeom prst="rect"/>
                  </pic:spPr>
                </pic:pic>
              </a:graphicData>
            </a:graphic>
          </wp:inline>
        </w:drawing>
      </w:r>
    </w:p>
    <w:p>
      <w:pPr>
        <w:jc w:val="center"/>
      </w:pPr>
      <w:r>
        <w:rPr>
          <w:rFonts w:ascii="EB Garamond" w:hAnsi="EB Garamond" w:cs="EB Garamond"/>
          <w:b w:val="0"/>
          <w:i/>
          <w:color w:val="4A5568"/>
          <w:sz w:val="18"/>
        </w:rPr>
        <w:t>us-code-law-book</w:t>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293A94" w:rsidRPr="002C7334" w:rsidSect="0072224A">
      <w:headerReference w:type="default" r:id="rId10"/>
      <w:footerReference w:type="default" r:id="rId11"/>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8040" w14:textId="77777777" w:rsidR="001E6D6D" w:rsidRDefault="001E6D6D" w:rsidP="0072224A">
      <w:pPr>
        <w:spacing w:after="0" w:line="240" w:lineRule="auto"/>
      </w:pPr>
      <w:r>
        <w:separator/>
      </w:r>
    </w:p>
  </w:endnote>
  <w:endnote w:type="continuationSeparator" w:id="0">
    <w:p w14:paraId="3B9E4310" w14:textId="77777777" w:rsidR="001E6D6D" w:rsidRDefault="001E6D6D" w:rsidP="0072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doni MT Black">
    <w:panose1 w:val="02070A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237732"/>
      <w:docPartObj>
        <w:docPartGallery w:val="Page Numbers (Bottom of Page)"/>
        <w:docPartUnique/>
      </w:docPartObj>
    </w:sdtPr>
    <w:sdtEndPr>
      <w:rPr>
        <w:rFonts w:ascii="Bodoni MT Black" w:hAnsi="Bodoni MT Black"/>
        <w:sz w:val="16"/>
        <w:szCs w:val="16"/>
      </w:rPr>
    </w:sdtEndPr>
    <w:sdtContent>
      <w:sdt>
        <w:sdtPr>
          <w:id w:val="1728636285"/>
          <w:docPartObj>
            <w:docPartGallery w:val="Page Numbers (Top of Page)"/>
            <w:docPartUnique/>
          </w:docPartObj>
        </w:sdtPr>
        <w:sdtEndPr>
          <w:rPr>
            <w:rFonts w:ascii="Bodoni MT Black" w:hAnsi="Bodoni MT Black"/>
            <w:sz w:val="16"/>
            <w:szCs w:val="16"/>
          </w:rPr>
        </w:sdtEndPr>
        <w:sdtContent>
          <w:p w14:paraId="4921777E" w14:textId="79D19441" w:rsidR="0072224A" w:rsidRPr="0072224A" w:rsidRDefault="0072224A" w:rsidP="0072224A">
            <w:pPr>
              <w:pStyle w:val="Footer"/>
              <w:jc w:val="center"/>
              <w:rPr>
                <w:rFonts w:ascii="Bodoni MT Black" w:hAnsi="Bodoni MT Black"/>
                <w:sz w:val="16"/>
                <w:szCs w:val="16"/>
              </w:rPr>
            </w:pPr>
            <w:r w:rsidRPr="0072224A">
              <w:rPr>
                <w:rFonts w:ascii="Bodoni MT Black" w:hAnsi="Bodoni MT Black"/>
                <w:sz w:val="16"/>
                <w:szCs w:val="16"/>
              </w:rPr>
              <w:t xml:space="preserve">Page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PAGE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r w:rsidRPr="0072224A">
              <w:rPr>
                <w:rFonts w:ascii="Bodoni MT Black" w:hAnsi="Bodoni MT Black"/>
                <w:sz w:val="16"/>
                <w:szCs w:val="16"/>
              </w:rPr>
              <w:t xml:space="preserve"> of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NUMPAGES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47EF4" w14:textId="77777777" w:rsidR="001E6D6D" w:rsidRDefault="001E6D6D" w:rsidP="0072224A">
      <w:pPr>
        <w:spacing w:after="0" w:line="240" w:lineRule="auto"/>
      </w:pPr>
      <w:r>
        <w:separator/>
      </w:r>
    </w:p>
  </w:footnote>
  <w:footnote w:type="continuationSeparator" w:id="0">
    <w:p w14:paraId="2CCEDCD8" w14:textId="77777777" w:rsidR="001E6D6D" w:rsidRDefault="001E6D6D" w:rsidP="0072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DE8E" w14:textId="3EE66F0B" w:rsidR="00E64A31" w:rsidRPr="00E64A31" w:rsidRDefault="00E64A31" w:rsidP="00E64A31">
    <w:pPr>
      <w:pStyle w:val="Header"/>
      <w:jc w:val="center"/>
      <w:rPr>
        <w:rFonts w:ascii="Algerian" w:hAnsi="Algerian"/>
        <w:sz w:val="24"/>
        <w:szCs w:val="24"/>
      </w:rPr>
    </w:pPr>
    <w:r w:rsidRPr="00E64A31">
      <w:rPr>
        <w:rFonts w:ascii="Algerian" w:hAnsi="Algerian"/>
        <w:sz w:val="24"/>
        <w:szCs w:val="24"/>
      </w:rPr>
      <w:t>EXHIBIT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A6F1B"/>
    <w:multiLevelType w:val="multilevel"/>
    <w:tmpl w:val="639C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64573"/>
    <w:multiLevelType w:val="hybridMultilevel"/>
    <w:tmpl w:val="3D16D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33AEC"/>
    <w:multiLevelType w:val="hybridMultilevel"/>
    <w:tmpl w:val="5ADAF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9F0628"/>
    <w:multiLevelType w:val="multilevel"/>
    <w:tmpl w:val="9EC2E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74516"/>
    <w:multiLevelType w:val="multilevel"/>
    <w:tmpl w:val="355EB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C816F0"/>
    <w:multiLevelType w:val="multilevel"/>
    <w:tmpl w:val="32B24F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CF49A9"/>
    <w:multiLevelType w:val="hybridMultilevel"/>
    <w:tmpl w:val="4098829A"/>
    <w:lvl w:ilvl="0" w:tplc="4456E5C4">
      <w:start w:val="1"/>
      <w:numFmt w:val="bullet"/>
      <w:lvlText w:val=""/>
      <w:lvlJc w:val="left"/>
      <w:pPr>
        <w:ind w:left="715" w:hanging="360"/>
      </w:pPr>
      <w:rPr>
        <w:rFonts w:ascii="Symbol" w:hAnsi="Symbol" w:hint="default"/>
        <w:color w:val="FFFFFF" w:themeColor="background1"/>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7" w15:restartNumberingAfterBreak="0">
    <w:nsid w:val="7826133A"/>
    <w:multiLevelType w:val="multilevel"/>
    <w:tmpl w:val="73F27444"/>
    <w:lvl w:ilvl="0">
      <w:start w:val="1"/>
      <w:numFmt w:val="decimal"/>
      <w:lvlText w:val="%1."/>
      <w:lvlJc w:val="left"/>
      <w:pPr>
        <w:tabs>
          <w:tab w:val="num" w:pos="720"/>
        </w:tabs>
        <w:ind w:left="720" w:hanging="360"/>
      </w:pPr>
      <w:rPr>
        <w:rFonts w:hint="default"/>
        <w:sz w:val="16"/>
        <w:szCs w:val="1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F1248E"/>
    <w:multiLevelType w:val="hybridMultilevel"/>
    <w:tmpl w:val="7E922F7A"/>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8"/>
  </w:num>
  <w:num w:numId="2" w16cid:durableId="54279384">
    <w:abstractNumId w:val="7"/>
  </w:num>
  <w:num w:numId="3" w16cid:durableId="1279528738">
    <w:abstractNumId w:val="0"/>
  </w:num>
  <w:num w:numId="4" w16cid:durableId="689644969">
    <w:abstractNumId w:val="6"/>
  </w:num>
  <w:num w:numId="5" w16cid:durableId="508368618">
    <w:abstractNumId w:val="2"/>
  </w:num>
  <w:num w:numId="6" w16cid:durableId="1312758437">
    <w:abstractNumId w:val="3"/>
  </w:num>
  <w:num w:numId="7" w16cid:durableId="1628779401">
    <w:abstractNumId w:val="4"/>
  </w:num>
  <w:num w:numId="8" w16cid:durableId="1630672470">
    <w:abstractNumId w:val="1"/>
  </w:num>
  <w:num w:numId="9" w16cid:durableId="1428888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34"/>
    <w:rsid w:val="00040A8D"/>
    <w:rsid w:val="0008301B"/>
    <w:rsid w:val="00086656"/>
    <w:rsid w:val="00090516"/>
    <w:rsid w:val="0009410A"/>
    <w:rsid w:val="000A7DE9"/>
    <w:rsid w:val="000B6229"/>
    <w:rsid w:val="000B68F6"/>
    <w:rsid w:val="000E3CDA"/>
    <w:rsid w:val="001001B9"/>
    <w:rsid w:val="001B1460"/>
    <w:rsid w:val="001D5563"/>
    <w:rsid w:val="001E6D6D"/>
    <w:rsid w:val="002279A0"/>
    <w:rsid w:val="002741CF"/>
    <w:rsid w:val="00293A94"/>
    <w:rsid w:val="002C7334"/>
    <w:rsid w:val="002C7772"/>
    <w:rsid w:val="002E08CE"/>
    <w:rsid w:val="002E5C70"/>
    <w:rsid w:val="00360F35"/>
    <w:rsid w:val="003615F0"/>
    <w:rsid w:val="003645CC"/>
    <w:rsid w:val="00384D04"/>
    <w:rsid w:val="003A5BD8"/>
    <w:rsid w:val="003B0A9B"/>
    <w:rsid w:val="00410D16"/>
    <w:rsid w:val="0044096F"/>
    <w:rsid w:val="00482EFA"/>
    <w:rsid w:val="004923E7"/>
    <w:rsid w:val="004C1A9C"/>
    <w:rsid w:val="00504F19"/>
    <w:rsid w:val="00540856"/>
    <w:rsid w:val="005446B2"/>
    <w:rsid w:val="0055661C"/>
    <w:rsid w:val="005A7210"/>
    <w:rsid w:val="005C5538"/>
    <w:rsid w:val="005F2C26"/>
    <w:rsid w:val="0066702A"/>
    <w:rsid w:val="006A2C0F"/>
    <w:rsid w:val="006E53D1"/>
    <w:rsid w:val="0072224A"/>
    <w:rsid w:val="00736EE8"/>
    <w:rsid w:val="00765096"/>
    <w:rsid w:val="007673A9"/>
    <w:rsid w:val="0077708C"/>
    <w:rsid w:val="007B0ED8"/>
    <w:rsid w:val="007C17B3"/>
    <w:rsid w:val="007D376C"/>
    <w:rsid w:val="00824DC5"/>
    <w:rsid w:val="0083427C"/>
    <w:rsid w:val="0084094C"/>
    <w:rsid w:val="00870375"/>
    <w:rsid w:val="008873C1"/>
    <w:rsid w:val="008B3A3D"/>
    <w:rsid w:val="008D263E"/>
    <w:rsid w:val="00930B63"/>
    <w:rsid w:val="00935BF2"/>
    <w:rsid w:val="00936704"/>
    <w:rsid w:val="00953558"/>
    <w:rsid w:val="009570A3"/>
    <w:rsid w:val="009770F9"/>
    <w:rsid w:val="009F7538"/>
    <w:rsid w:val="00A149DC"/>
    <w:rsid w:val="00A26313"/>
    <w:rsid w:val="00A435A5"/>
    <w:rsid w:val="00A648F0"/>
    <w:rsid w:val="00A805EC"/>
    <w:rsid w:val="00B32D21"/>
    <w:rsid w:val="00B45223"/>
    <w:rsid w:val="00B71291"/>
    <w:rsid w:val="00BB3D8B"/>
    <w:rsid w:val="00BE3AE4"/>
    <w:rsid w:val="00BF1453"/>
    <w:rsid w:val="00C07F93"/>
    <w:rsid w:val="00C12B4C"/>
    <w:rsid w:val="00C3523C"/>
    <w:rsid w:val="00CB2FB8"/>
    <w:rsid w:val="00CB6683"/>
    <w:rsid w:val="00D26380"/>
    <w:rsid w:val="00D40149"/>
    <w:rsid w:val="00D57CC3"/>
    <w:rsid w:val="00D77D6C"/>
    <w:rsid w:val="00D82C63"/>
    <w:rsid w:val="00DD4FF1"/>
    <w:rsid w:val="00DE2252"/>
    <w:rsid w:val="00DE331F"/>
    <w:rsid w:val="00DE4D0B"/>
    <w:rsid w:val="00E21AD0"/>
    <w:rsid w:val="00E273D4"/>
    <w:rsid w:val="00E64A31"/>
    <w:rsid w:val="00E759CA"/>
    <w:rsid w:val="00EC0644"/>
    <w:rsid w:val="00ED7929"/>
    <w:rsid w:val="00EF5221"/>
    <w:rsid w:val="00F12B00"/>
    <w:rsid w:val="00F44BF3"/>
    <w:rsid w:val="00F56221"/>
    <w:rsid w:val="00FB31EF"/>
    <w:rsid w:val="00FC19D4"/>
    <w:rsid w:val="00FD0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6A5D"/>
  <w15:chartTrackingRefBased/>
  <w15:docId w15:val="{2685F1EF-0098-4331-8302-99F69C74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7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7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334"/>
    <w:rPr>
      <w:rFonts w:eastAsiaTheme="majorEastAsia" w:cstheme="majorBidi"/>
      <w:color w:val="272727" w:themeColor="text1" w:themeTint="D8"/>
    </w:rPr>
  </w:style>
  <w:style w:type="paragraph" w:styleId="Title">
    <w:name w:val="Title"/>
    <w:basedOn w:val="Normal"/>
    <w:next w:val="Normal"/>
    <w:link w:val="TitleChar"/>
    <w:uiPriority w:val="10"/>
    <w:qFormat/>
    <w:rsid w:val="002C7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334"/>
    <w:pPr>
      <w:spacing w:before="160"/>
      <w:jc w:val="center"/>
    </w:pPr>
    <w:rPr>
      <w:i/>
      <w:iCs/>
      <w:color w:val="404040" w:themeColor="text1" w:themeTint="BF"/>
    </w:rPr>
  </w:style>
  <w:style w:type="character" w:customStyle="1" w:styleId="QuoteChar">
    <w:name w:val="Quote Char"/>
    <w:basedOn w:val="DefaultParagraphFont"/>
    <w:link w:val="Quote"/>
    <w:uiPriority w:val="29"/>
    <w:rsid w:val="002C7334"/>
    <w:rPr>
      <w:i/>
      <w:iCs/>
      <w:color w:val="404040" w:themeColor="text1" w:themeTint="BF"/>
    </w:rPr>
  </w:style>
  <w:style w:type="paragraph" w:styleId="ListParagraph">
    <w:name w:val="List Paragraph"/>
    <w:basedOn w:val="Normal"/>
    <w:uiPriority w:val="34"/>
    <w:qFormat/>
    <w:rsid w:val="002C7334"/>
    <w:pPr>
      <w:ind w:left="720"/>
      <w:contextualSpacing/>
    </w:pPr>
  </w:style>
  <w:style w:type="character" w:styleId="IntenseEmphasis">
    <w:name w:val="Intense Emphasis"/>
    <w:basedOn w:val="DefaultParagraphFont"/>
    <w:uiPriority w:val="21"/>
    <w:qFormat/>
    <w:rsid w:val="002C7334"/>
    <w:rPr>
      <w:i/>
      <w:iCs/>
      <w:color w:val="0F4761" w:themeColor="accent1" w:themeShade="BF"/>
    </w:rPr>
  </w:style>
  <w:style w:type="paragraph" w:styleId="IntenseQuote">
    <w:name w:val="Intense Quote"/>
    <w:basedOn w:val="Normal"/>
    <w:next w:val="Normal"/>
    <w:link w:val="IntenseQuoteChar"/>
    <w:uiPriority w:val="30"/>
    <w:qFormat/>
    <w:rsid w:val="002C7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334"/>
    <w:rPr>
      <w:i/>
      <w:iCs/>
      <w:color w:val="0F4761" w:themeColor="accent1" w:themeShade="BF"/>
    </w:rPr>
  </w:style>
  <w:style w:type="character" w:styleId="IntenseReference">
    <w:name w:val="Intense Reference"/>
    <w:basedOn w:val="DefaultParagraphFont"/>
    <w:uiPriority w:val="32"/>
    <w:qFormat/>
    <w:rsid w:val="002C7334"/>
    <w:rPr>
      <w:b/>
      <w:bCs/>
      <w:smallCaps/>
      <w:color w:val="0F4761" w:themeColor="accent1" w:themeShade="BF"/>
      <w:spacing w:val="5"/>
    </w:rPr>
  </w:style>
  <w:style w:type="paragraph" w:styleId="Header">
    <w:name w:val="header"/>
    <w:basedOn w:val="Normal"/>
    <w:link w:val="HeaderChar"/>
    <w:uiPriority w:val="99"/>
    <w:unhideWhenUsed/>
    <w:rsid w:val="002C7334"/>
    <w:pPr>
      <w:tabs>
        <w:tab w:val="center" w:pos="4680"/>
        <w:tab w:val="right" w:pos="9360"/>
      </w:tabs>
      <w:spacing w:after="0" w:line="240" w:lineRule="auto"/>
      <w:jc w:val="both"/>
    </w:pPr>
    <w:rPr>
      <w:kern w:val="0"/>
      <w:sz w:val="20"/>
      <w:szCs w:val="20"/>
      <w:lang w:bidi="en-US"/>
      <w14:ligatures w14:val="none"/>
    </w:rPr>
  </w:style>
  <w:style w:type="character" w:customStyle="1" w:styleId="HeaderChar">
    <w:name w:val="Header Char"/>
    <w:basedOn w:val="DefaultParagraphFont"/>
    <w:link w:val="Header"/>
    <w:uiPriority w:val="99"/>
    <w:rsid w:val="002C7334"/>
    <w:rPr>
      <w:kern w:val="0"/>
      <w:sz w:val="20"/>
      <w:szCs w:val="20"/>
      <w:lang w:bidi="en-US"/>
      <w14:ligatures w14:val="none"/>
    </w:rPr>
  </w:style>
  <w:style w:type="character" w:customStyle="1" w:styleId="po-name">
    <w:name w:val="po-name"/>
    <w:basedOn w:val="DefaultParagraphFont"/>
    <w:rsid w:val="002C7334"/>
  </w:style>
  <w:style w:type="character" w:customStyle="1" w:styleId="po-county">
    <w:name w:val="po-county"/>
    <w:basedOn w:val="DefaultParagraphFont"/>
    <w:rsid w:val="002C7334"/>
  </w:style>
  <w:style w:type="character" w:customStyle="1" w:styleId="po-state">
    <w:name w:val="po-state"/>
    <w:basedOn w:val="DefaultParagraphFont"/>
    <w:rsid w:val="002C7334"/>
  </w:style>
  <w:style w:type="paragraph" w:styleId="NormalWeb">
    <w:name w:val="Normal (Web)"/>
    <w:basedOn w:val="Normal"/>
    <w:uiPriority w:val="99"/>
    <w:unhideWhenUsed/>
    <w:qFormat/>
    <w:rsid w:val="002C7334"/>
    <w:pPr>
      <w:spacing w:after="200" w:line="276" w:lineRule="auto"/>
      <w:jc w:val="both"/>
    </w:pPr>
    <w:rPr>
      <w:rFonts w:ascii="Times New Roman" w:hAnsi="Times New Roman" w:cs="Times New Roman"/>
      <w:kern w:val="0"/>
      <w:lang w:bidi="en-US"/>
      <w14:ligatures w14:val="none"/>
    </w:rPr>
  </w:style>
  <w:style w:type="character" w:styleId="Strong">
    <w:name w:val="Strong"/>
    <w:basedOn w:val="DefaultParagraphFont"/>
    <w:uiPriority w:val="22"/>
    <w:qFormat/>
    <w:rsid w:val="00FD0CEA"/>
    <w:rPr>
      <w:b/>
      <w:bCs/>
    </w:rPr>
  </w:style>
  <w:style w:type="character" w:styleId="Hyperlink">
    <w:name w:val="Hyperlink"/>
    <w:basedOn w:val="DefaultParagraphFont"/>
    <w:uiPriority w:val="99"/>
    <w:unhideWhenUsed/>
    <w:rsid w:val="00FD0CEA"/>
    <w:rPr>
      <w:color w:val="467886" w:themeColor="hyperlink"/>
      <w:u w:val="single"/>
    </w:rPr>
  </w:style>
  <w:style w:type="paragraph" w:styleId="Footer">
    <w:name w:val="footer"/>
    <w:basedOn w:val="Normal"/>
    <w:link w:val="FooterChar"/>
    <w:uiPriority w:val="99"/>
    <w:unhideWhenUsed/>
    <w:rsid w:val="0072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24A"/>
  </w:style>
  <w:style w:type="character" w:styleId="FollowedHyperlink">
    <w:name w:val="FollowedHyperlink"/>
    <w:basedOn w:val="DefaultParagraphFont"/>
    <w:uiPriority w:val="99"/>
    <w:semiHidden/>
    <w:unhideWhenUsed/>
    <w:rsid w:val="00A435A5"/>
    <w:rPr>
      <w:color w:val="96607D" w:themeColor="followedHyperlink"/>
      <w:u w:val="single"/>
    </w:rPr>
  </w:style>
  <w:style w:type="character" w:styleId="UnresolvedMention">
    <w:name w:val="Unresolved Mention"/>
    <w:basedOn w:val="DefaultParagraphFont"/>
    <w:uiPriority w:val="99"/>
    <w:semiHidden/>
    <w:unhideWhenUsed/>
    <w:rsid w:val="00A435A5"/>
    <w:rPr>
      <w:color w:val="605E5C"/>
      <w:shd w:val="clear" w:color="auto" w:fill="E1DFDD"/>
    </w:rPr>
  </w:style>
  <w:style w:type="paragraph" w:customStyle="1" w:styleId="NoSpacing1">
    <w:name w:val="No Spacing1"/>
    <w:uiPriority w:val="1"/>
    <w:qFormat/>
    <w:rsid w:val="005C5538"/>
    <w:pPr>
      <w:spacing w:after="0" w:line="240" w:lineRule="auto"/>
    </w:pPr>
    <w:rPr>
      <w:rFonts w:ascii="Cambria" w:eastAsia="MS Mincho" w:hAnsi="Cambria"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ow-profit_limited_liability_compan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New_York_state_public-benefit_corpora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Low-profit_limited_liability_company" TargetMode="External"/><Relationship Id="rId14" Type="http://schemas.openxmlformats.org/officeDocument/2006/relationships/image" Target="media/image1.jpg"/><Relationship Id="rId15" Type="http://schemas.openxmlformats.org/officeDocument/2006/relationships/image" Target="media/image2.jpg"/><Relationship Id="rId16"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Pages>
  <Words>7841</Words>
  <Characters>44694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Sedition Disclaimer — Law Checked Line by Line</dc:title>
  <dc:subject>Enhanced edition: original verbatim + research dossier (Word)</dc:subject>
  <dc:creator>The Reinvention of New York — Fictive Documents Archive</dc:creator>
  <cp:keywords/>
  <dc:description/>
  <cp:lastModifiedBy>Vic Acosta</cp:lastModifiedBy>
  <cp:revision>44</cp:revision>
  <dcterms:created xsi:type="dcterms:W3CDTF">2026-09-16T11:53:00Z</dcterms:created>
  <dcterms:modified xsi:type="dcterms:W3CDTF">2026-09-23T16:43:00Z</dcterms:modified>
</cp:coreProperties>
</file>