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D9B9B" w14:textId="77777777" w:rsidR="0090245F" w:rsidRDefault="0090245F" w:rsidP="0090245F">
      <w:pPr>
        <w:jc w:val="center"/>
        <w:rPr>
          <w:sz w:val="18"/>
          <w:szCs w:val="18"/>
        </w:rPr>
      </w:pPr>
      <w:r>
        <w:rPr>
          <w:sz w:val="18"/>
          <w:szCs w:val="18"/>
        </w:rPr>
        <w:t>____________________________________________________________</w:t>
      </w:r>
    </w:p>
    <w:p w14:paraId="7B976DA2" w14:textId="77777777" w:rsidR="0090245F" w:rsidRDefault="0090245F" w:rsidP="0090245F">
      <w:pPr>
        <w:jc w:val="center"/>
        <w:rPr>
          <w:iCs/>
          <w:color w:val="000000"/>
          <w:sz w:val="18"/>
          <w:szCs w:val="18"/>
        </w:rPr>
      </w:pPr>
      <w:r w:rsidRPr="00457E34">
        <w:rPr>
          <w:rFonts w:ascii="Times New Roman" w:hAnsi="Times New Roman" w:cs="Times New Roman"/>
          <w:b/>
          <w:bCs/>
        </w:rPr>
        <w:t xml:space="preserve">NOTICE TO   PRINCIPALS                                                                                                                                                      </w:t>
      </w:r>
      <w:r>
        <w:rPr>
          <w:rFonts w:ascii="Times New Roman" w:hAnsi="Times New Roman" w:cs="Times New Roman"/>
          <w:i/>
          <w:iCs/>
        </w:rPr>
        <w:t xml:space="preserve">Applicable to all successors and or assigns                                                                                                              </w:t>
      </w:r>
      <w:r>
        <w:rPr>
          <w:sz w:val="18"/>
          <w:szCs w:val="18"/>
        </w:rPr>
        <w:t xml:space="preserve">__________________________________________                                                                                                                         </w:t>
      </w:r>
    </w:p>
    <w:p w14:paraId="7B55E85E" w14:textId="77777777" w:rsidR="0090245F" w:rsidRPr="00AC1502" w:rsidRDefault="0090245F" w:rsidP="0090245F">
      <w:pPr>
        <w:pStyle w:val="ListParagraph"/>
        <w:numPr>
          <w:ilvl w:val="0"/>
          <w:numId w:val="1"/>
        </w:numPr>
        <w:spacing w:after="160"/>
        <w:jc w:val="center"/>
        <w:rPr>
          <w:rFonts w:ascii="Times New Roman" w:hAnsi="Times New Roman" w:cs="Times New Roman"/>
        </w:rPr>
      </w:pPr>
      <w:r w:rsidRPr="00AC1502">
        <w:rPr>
          <w:rFonts w:ascii="Times New Roman" w:hAnsi="Times New Roman" w:cs="Times New Roman"/>
          <w:b/>
          <w:bCs/>
        </w:rPr>
        <w:t xml:space="preserve">DECLARATION OF </w:t>
      </w:r>
      <w:r>
        <w:rPr>
          <w:rFonts w:ascii="Times New Roman" w:hAnsi="Times New Roman" w:cs="Times New Roman"/>
          <w:b/>
          <w:bCs/>
        </w:rPr>
        <w:t xml:space="preserve">FULL </w:t>
      </w:r>
      <w:r w:rsidRPr="00AC1502">
        <w:rPr>
          <w:rFonts w:ascii="Times New Roman" w:hAnsi="Times New Roman" w:cs="Times New Roman"/>
          <w:b/>
          <w:bCs/>
        </w:rPr>
        <w:t>RESTORATION OF LENAPEHOKING</w:t>
      </w:r>
    </w:p>
    <w:p w14:paraId="29C05C8E" w14:textId="77777777" w:rsidR="0090245F" w:rsidRPr="00753204" w:rsidRDefault="0090245F" w:rsidP="0090245F">
      <w:pPr>
        <w:pStyle w:val="ListParagraph"/>
        <w:numPr>
          <w:ilvl w:val="0"/>
          <w:numId w:val="1"/>
        </w:numPr>
        <w:spacing w:line="240" w:lineRule="auto"/>
        <w:jc w:val="center"/>
        <w:rPr>
          <w:rFonts w:ascii="Times New Roman" w:hAnsi="Times New Roman" w:cs="Times New Roman"/>
        </w:rPr>
      </w:pPr>
      <w:r w:rsidRPr="00753204">
        <w:rPr>
          <w:rFonts w:ascii="Times New Roman" w:hAnsi="Times New Roman" w:cs="Times New Roman"/>
        </w:rPr>
        <w:t>The United Cherokee Nation (</w:t>
      </w:r>
      <w:r w:rsidRPr="00753204">
        <w:rPr>
          <w:rFonts w:ascii="Times New Roman" w:hAnsi="Times New Roman" w:cs="Times New Roman"/>
          <w:b/>
          <w:bCs/>
        </w:rPr>
        <w:t>UCN</w:t>
      </w:r>
      <w:r w:rsidRPr="00753204">
        <w:rPr>
          <w:rFonts w:ascii="Times New Roman" w:hAnsi="Times New Roman" w:cs="Times New Roman"/>
        </w:rPr>
        <w:t xml:space="preserve">) – d.b.a.: the CPAIN organization, Cherokee Nation Business, LLC, d.b.a.: </w:t>
      </w:r>
      <w:r>
        <w:rPr>
          <w:rFonts w:ascii="Times New Roman" w:hAnsi="Times New Roman" w:cs="Times New Roman"/>
        </w:rPr>
        <w:t xml:space="preserve">The LLC or </w:t>
      </w:r>
      <w:r w:rsidRPr="00753204">
        <w:rPr>
          <w:rFonts w:ascii="Times New Roman" w:hAnsi="Times New Roman" w:cs="Times New Roman"/>
        </w:rPr>
        <w:t xml:space="preserve">"Cherokee Nation </w:t>
      </w:r>
      <w:r w:rsidRPr="00423284">
        <w:rPr>
          <w:rFonts w:ascii="Times New Roman" w:hAnsi="Times New Roman" w:cs="Times New Roman"/>
        </w:rPr>
        <w:t>of New York – New York County" in Indian Country</w:t>
      </w:r>
      <w:r w:rsidRPr="00753204">
        <w:rPr>
          <w:rFonts w:ascii="Times New Roman" w:hAnsi="Times New Roman" w:cs="Times New Roman"/>
        </w:rPr>
        <w:t>, i.e., United States or Oklahoma.</w:t>
      </w:r>
    </w:p>
    <w:p w14:paraId="2F91DE81" w14:textId="014AAAD5" w:rsidR="00FA66A2" w:rsidRPr="00D54FEE" w:rsidRDefault="00FA66A2" w:rsidP="0090245F">
      <w:pPr>
        <w:shd w:val="clear" w:color="auto" w:fill="0E2841" w:themeFill="text2"/>
        <w:jc w:val="center"/>
        <w:rPr>
          <w:rFonts w:ascii="Algerian" w:hAnsi="Algerian" w:cs="Times New Roman"/>
        </w:rPr>
      </w:pPr>
      <w:proofErr w:type="gramStart"/>
      <w:r>
        <w:rPr>
          <w:rFonts w:ascii="Algerian" w:hAnsi="Algerian" w:cs="Times New Roman"/>
        </w:rPr>
        <w:t>THE</w:t>
      </w:r>
      <w:proofErr w:type="gramEnd"/>
      <w:r>
        <w:rPr>
          <w:rFonts w:ascii="Algerian" w:hAnsi="Algerian" w:cs="Times New Roman"/>
        </w:rPr>
        <w:t xml:space="preserve"> reclamation and restoration</w:t>
      </w:r>
      <w:r w:rsidRPr="00D54FEE">
        <w:rPr>
          <w:rFonts w:ascii="Algerian" w:hAnsi="Algerian" w:cs="Times New Roman"/>
        </w:rPr>
        <w:t xml:space="preserve"> of Lenapehoking</w:t>
      </w:r>
    </w:p>
    <w:tbl>
      <w:tblPr>
        <w:tblW w:w="5280" w:type="dxa"/>
        <w:jc w:val="center"/>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1313"/>
        <w:gridCol w:w="3967"/>
      </w:tblGrid>
      <w:tr w:rsidR="00FA66A2" w:rsidRPr="009D5DAB" w14:paraId="72FB989E" w14:textId="77777777" w:rsidTr="003304C9">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0A11CEF0" w14:textId="77777777" w:rsidR="00FA66A2" w:rsidRPr="00F615FA" w:rsidRDefault="00FA66A2" w:rsidP="003304C9">
            <w:pPr>
              <w:jc w:val="center"/>
              <w:rPr>
                <w:rFonts w:ascii="Times New Roman" w:hAnsi="Times New Roman" w:cs="Times New Roman"/>
                <w:b/>
                <w:bCs/>
              </w:rPr>
            </w:pPr>
            <w:r w:rsidRPr="00F615FA">
              <w:rPr>
                <w:rFonts w:ascii="Times New Roman" w:hAnsi="Times New Roman" w:cs="Times New Roman"/>
                <w:b/>
                <w:bCs/>
              </w:rPr>
              <w:t>Status</w:t>
            </w:r>
          </w:p>
        </w:tc>
        <w:tc>
          <w:tcPr>
            <w:tcW w:w="0" w:type="auto"/>
            <w:tcBorders>
              <w:top w:val="single" w:sz="6" w:space="0" w:color="A2A9B1"/>
            </w:tcBorders>
            <w:shd w:val="clear" w:color="auto" w:fill="F8F9FA"/>
            <w:tcMar>
              <w:top w:w="96" w:type="dxa"/>
              <w:left w:w="144" w:type="dxa"/>
              <w:bottom w:w="96" w:type="dxa"/>
              <w:right w:w="144" w:type="dxa"/>
            </w:tcMar>
            <w:hideMark/>
          </w:tcPr>
          <w:p w14:paraId="683C7905" w14:textId="77777777" w:rsidR="00FA66A2" w:rsidRPr="00F615FA" w:rsidRDefault="00FA66A2" w:rsidP="003304C9">
            <w:pPr>
              <w:jc w:val="center"/>
              <w:rPr>
                <w:rFonts w:ascii="Times New Roman" w:hAnsi="Times New Roman" w:cs="Times New Roman"/>
              </w:rPr>
            </w:pPr>
            <w:r>
              <w:rPr>
                <w:rFonts w:ascii="Times New Roman" w:hAnsi="Times New Roman" w:cs="Times New Roman"/>
              </w:rPr>
              <w:t xml:space="preserve">Fully </w:t>
            </w:r>
            <w:r w:rsidRPr="00F615FA">
              <w:rPr>
                <w:rFonts w:ascii="Times New Roman" w:hAnsi="Times New Roman" w:cs="Times New Roman"/>
              </w:rPr>
              <w:t>Restored</w:t>
            </w:r>
            <w:r>
              <w:rPr>
                <w:rFonts w:ascii="Times New Roman" w:hAnsi="Times New Roman" w:cs="Times New Roman"/>
              </w:rPr>
              <w:t xml:space="preserve"> / Reclaimed</w:t>
            </w:r>
          </w:p>
        </w:tc>
      </w:tr>
    </w:tbl>
    <w:p w14:paraId="391AE381" w14:textId="77777777" w:rsidR="00FA66A2" w:rsidRPr="001C5773" w:rsidRDefault="00FA66A2" w:rsidP="00FA66A2">
      <w:pPr>
        <w:rPr>
          <w:rFonts w:ascii="Times New Roman" w:hAnsi="Times New Roman" w:cs="Times New Roman"/>
          <w:sz w:val="2"/>
          <w:szCs w:val="2"/>
        </w:rPr>
      </w:pPr>
    </w:p>
    <w:p w14:paraId="57969A50" w14:textId="77777777" w:rsidR="00FA66A2" w:rsidRPr="005E770B" w:rsidRDefault="00FA66A2" w:rsidP="00FA66A2">
      <w:pPr>
        <w:pStyle w:val="ListParagraph"/>
        <w:numPr>
          <w:ilvl w:val="0"/>
          <w:numId w:val="1"/>
        </w:numPr>
        <w:autoSpaceDE w:val="0"/>
        <w:autoSpaceDN w:val="0"/>
        <w:adjustRightInd w:val="0"/>
        <w:spacing w:after="0" w:line="240" w:lineRule="auto"/>
        <w:ind w:left="-365"/>
        <w:rPr>
          <w:rFonts w:ascii="Times New Roman" w:hAnsi="Times New Roman" w:cs="Times New Roman"/>
          <w:sz w:val="16"/>
          <w:szCs w:val="16"/>
        </w:rPr>
      </w:pPr>
      <w:r w:rsidRPr="005E770B">
        <w:rPr>
          <w:rFonts w:ascii="Times New Roman" w:hAnsi="Times New Roman" w:cs="Times New Roman"/>
          <w:sz w:val="16"/>
          <w:szCs w:val="16"/>
        </w:rPr>
        <w:t>The territory known as Lenapehoking encompassed all of what is known as present-day New Jersey, most of eastern Pennsylvania, and southern New York. It stretche</w:t>
      </w:r>
      <w:r>
        <w:rPr>
          <w:rFonts w:ascii="Times New Roman" w:hAnsi="Times New Roman" w:cs="Times New Roman"/>
          <w:sz w:val="16"/>
          <w:szCs w:val="16"/>
        </w:rPr>
        <w:t>s</w:t>
      </w:r>
      <w:r w:rsidRPr="005E770B">
        <w:rPr>
          <w:rFonts w:ascii="Times New Roman" w:hAnsi="Times New Roman" w:cs="Times New Roman"/>
          <w:sz w:val="16"/>
          <w:szCs w:val="16"/>
        </w:rPr>
        <w:t xml:space="preserve"> along the left bank Delaware valley, extending to </w:t>
      </w:r>
      <w:proofErr w:type="gramStart"/>
      <w:r w:rsidRPr="005E770B">
        <w:rPr>
          <w:rFonts w:ascii="Times New Roman" w:hAnsi="Times New Roman" w:cs="Times New Roman"/>
          <w:sz w:val="16"/>
          <w:szCs w:val="16"/>
        </w:rPr>
        <w:t>all of</w:t>
      </w:r>
      <w:proofErr w:type="gramEnd"/>
      <w:r w:rsidRPr="005E770B">
        <w:rPr>
          <w:rFonts w:ascii="Times New Roman" w:hAnsi="Times New Roman" w:cs="Times New Roman"/>
          <w:sz w:val="16"/>
          <w:szCs w:val="16"/>
        </w:rPr>
        <w:t xml:space="preserve"> present-day New Jersey, and the southern counties of the territorial New York State, including Rockland, Orange, Westchester, Dutchess and Putnam Counties, Nassau County, and the five boroughs of New York City. </w:t>
      </w:r>
    </w:p>
    <w:p w14:paraId="47AACFB8" w14:textId="77777777" w:rsidR="00FA66A2" w:rsidRPr="00974EDD" w:rsidRDefault="00FA66A2" w:rsidP="00FA66A2">
      <w:pPr>
        <w:pStyle w:val="ListParagraph"/>
        <w:autoSpaceDE w:val="0"/>
        <w:autoSpaceDN w:val="0"/>
        <w:adjustRightInd w:val="0"/>
        <w:spacing w:after="0" w:line="240" w:lineRule="auto"/>
        <w:ind w:left="-365"/>
        <w:rPr>
          <w:rFonts w:ascii="Times New Roman" w:hAnsi="Times New Roman" w:cs="Times New Roman"/>
          <w:sz w:val="6"/>
          <w:szCs w:val="6"/>
        </w:rPr>
      </w:pPr>
    </w:p>
    <w:p w14:paraId="7EEFABD1" w14:textId="77777777" w:rsidR="00FA66A2" w:rsidRPr="005E770B" w:rsidRDefault="00FA66A2" w:rsidP="00FA66A2">
      <w:pPr>
        <w:pStyle w:val="ListParagraph"/>
        <w:numPr>
          <w:ilvl w:val="0"/>
          <w:numId w:val="1"/>
        </w:numPr>
        <w:autoSpaceDE w:val="0"/>
        <w:autoSpaceDN w:val="0"/>
        <w:adjustRightInd w:val="0"/>
        <w:spacing w:after="0" w:line="240" w:lineRule="auto"/>
        <w:ind w:left="-365"/>
        <w:rPr>
          <w:rFonts w:ascii="Times New Roman" w:hAnsi="Times New Roman" w:cs="Times New Roman"/>
          <w:sz w:val="16"/>
          <w:szCs w:val="16"/>
        </w:rPr>
      </w:pPr>
      <w:r w:rsidRPr="005E770B">
        <w:rPr>
          <w:rFonts w:ascii="Times New Roman" w:hAnsi="Times New Roman" w:cs="Times New Roman"/>
          <w:sz w:val="16"/>
          <w:szCs w:val="16"/>
        </w:rPr>
        <w:t xml:space="preserve">Formerly unrecognized, i.e., a government-in-exile / former country or historical sovereign state, its </w:t>
      </w:r>
      <w:proofErr w:type="gramStart"/>
      <w:r w:rsidRPr="005E770B">
        <w:rPr>
          <w:rFonts w:ascii="Times New Roman" w:hAnsi="Times New Roman" w:cs="Times New Roman"/>
          <w:sz w:val="16"/>
          <w:szCs w:val="16"/>
        </w:rPr>
        <w:t>current status</w:t>
      </w:r>
      <w:proofErr w:type="gramEnd"/>
      <w:r w:rsidRPr="005E770B">
        <w:rPr>
          <w:rFonts w:ascii="Times New Roman" w:hAnsi="Times New Roman" w:cs="Times New Roman"/>
          <w:sz w:val="16"/>
          <w:szCs w:val="16"/>
        </w:rPr>
        <w:t xml:space="preserve"> is:</w:t>
      </w:r>
      <w:r w:rsidRPr="005E770B">
        <w:rPr>
          <w:rFonts w:ascii="Times New Roman" w:hAnsi="Times New Roman" w:cs="Times New Roman"/>
          <w:b/>
          <w:bCs/>
          <w:sz w:val="16"/>
          <w:szCs w:val="16"/>
        </w:rPr>
        <w:t xml:space="preserve"> RECLAIMED</w:t>
      </w:r>
      <w:r w:rsidRPr="005E770B">
        <w:rPr>
          <w:rFonts w:ascii="Times New Roman" w:hAnsi="Times New Roman" w:cs="Times New Roman"/>
          <w:sz w:val="16"/>
          <w:szCs w:val="16"/>
        </w:rPr>
        <w:t xml:space="preserve"> via </w:t>
      </w:r>
      <w:r w:rsidRPr="005E770B">
        <w:rPr>
          <w:rFonts w:ascii="Times New Roman" w:hAnsi="Times New Roman" w:cs="Times New Roman"/>
          <w:b/>
          <w:bCs/>
          <w:sz w:val="16"/>
          <w:szCs w:val="16"/>
        </w:rPr>
        <w:t>land acknowledgement</w:t>
      </w:r>
      <w:r w:rsidRPr="005E770B">
        <w:rPr>
          <w:rFonts w:ascii="Times New Roman" w:hAnsi="Times New Roman" w:cs="Times New Roman"/>
          <w:sz w:val="16"/>
          <w:szCs w:val="16"/>
        </w:rPr>
        <w:t xml:space="preserve">, also known as, a </w:t>
      </w:r>
      <w:r w:rsidRPr="005E770B">
        <w:rPr>
          <w:rFonts w:ascii="Times New Roman" w:hAnsi="Times New Roman" w:cs="Times New Roman"/>
          <w:b/>
          <w:bCs/>
          <w:sz w:val="16"/>
          <w:szCs w:val="16"/>
        </w:rPr>
        <w:t xml:space="preserve">territorial acknowledgement. </w:t>
      </w:r>
      <w:r w:rsidRPr="005E770B">
        <w:rPr>
          <w:rFonts w:ascii="Times New Roman" w:hAnsi="Times New Roman" w:cs="Times New Roman"/>
          <w:sz w:val="16"/>
          <w:szCs w:val="16"/>
        </w:rPr>
        <w:t>It is a formal statement that acknowledges the indigenous peoples of the land. It may be in written form or merely be spoken at the beginning of public events. The custom of land or territorial acknowledgement is practiced in Canada, Australia, and New Zealand, as well as in the United States, where the practice of land or territorial acknowledgments has been gaining momentum circa 2019.</w:t>
      </w:r>
    </w:p>
    <w:p w14:paraId="4B9F794B" w14:textId="77777777" w:rsidR="00FA66A2" w:rsidRPr="005E770B" w:rsidRDefault="00FA66A2" w:rsidP="00FA66A2">
      <w:pPr>
        <w:autoSpaceDE w:val="0"/>
        <w:autoSpaceDN w:val="0"/>
        <w:adjustRightInd w:val="0"/>
        <w:spacing w:after="0" w:line="240" w:lineRule="auto"/>
        <w:ind w:left="-725"/>
        <w:rPr>
          <w:rFonts w:ascii="Times New Roman" w:hAnsi="Times New Roman" w:cs="Times New Roman"/>
          <w:sz w:val="8"/>
          <w:szCs w:val="8"/>
        </w:rPr>
      </w:pPr>
    </w:p>
    <w:p w14:paraId="3FFD2290" w14:textId="77777777" w:rsidR="00FA66A2" w:rsidRDefault="00FA66A2" w:rsidP="00FA66A2">
      <w:pPr>
        <w:pStyle w:val="ListParagraph"/>
        <w:autoSpaceDE w:val="0"/>
        <w:autoSpaceDN w:val="0"/>
        <w:adjustRightInd w:val="0"/>
        <w:spacing w:after="0" w:line="240" w:lineRule="auto"/>
        <w:ind w:left="-5"/>
        <w:rPr>
          <w:rFonts w:ascii="Times New Roman" w:hAnsi="Times New Roman" w:cs="Times New Roman"/>
          <w:sz w:val="16"/>
          <w:szCs w:val="16"/>
        </w:rPr>
      </w:pPr>
      <w:r w:rsidRPr="005E770B">
        <w:rPr>
          <w:rFonts w:ascii="Times New Roman" w:hAnsi="Times New Roman" w:cs="Times New Roman"/>
          <w:sz w:val="16"/>
          <w:szCs w:val="16"/>
        </w:rPr>
        <w:t xml:space="preserve">FYI: A </w:t>
      </w:r>
      <w:r w:rsidRPr="005E770B">
        <w:rPr>
          <w:rFonts w:ascii="Times New Roman" w:hAnsi="Times New Roman" w:cs="Times New Roman"/>
          <w:b/>
          <w:bCs/>
          <w:sz w:val="16"/>
          <w:szCs w:val="16"/>
        </w:rPr>
        <w:t>historical sovereign state</w:t>
      </w:r>
      <w:r w:rsidRPr="005E770B">
        <w:rPr>
          <w:rFonts w:ascii="Times New Roman" w:hAnsi="Times New Roman" w:cs="Times New Roman"/>
          <w:sz w:val="16"/>
          <w:szCs w:val="16"/>
        </w:rPr>
        <w:t xml:space="preserve"> is a sovereign state that once existed, but has since been dissolved due to conflict, war, rebellion, annexation, or uprising. This may include sovereign states, countries, nations, or empires that ceased to exist as </w:t>
      </w:r>
      <w:r w:rsidRPr="005E770B">
        <w:rPr>
          <w:rFonts w:ascii="Times New Roman" w:hAnsi="Times New Roman" w:cs="Times New Roman"/>
          <w:b/>
          <w:bCs/>
          <w:i/>
          <w:iCs/>
          <w:sz w:val="16"/>
          <w:szCs w:val="16"/>
        </w:rPr>
        <w:t>political entities</w:t>
      </w:r>
      <w:r w:rsidRPr="005E770B">
        <w:rPr>
          <w:rFonts w:ascii="Times New Roman" w:hAnsi="Times New Roman" w:cs="Times New Roman"/>
          <w:sz w:val="16"/>
          <w:szCs w:val="16"/>
        </w:rPr>
        <w:t xml:space="preserve"> sometime after 1453.</w:t>
      </w:r>
    </w:p>
    <w:p w14:paraId="6D23D2DD" w14:textId="77777777" w:rsidR="00FA66A2" w:rsidRPr="00974EDD" w:rsidRDefault="00FA66A2" w:rsidP="00FA66A2">
      <w:pPr>
        <w:pStyle w:val="ListParagraph"/>
        <w:autoSpaceDE w:val="0"/>
        <w:autoSpaceDN w:val="0"/>
        <w:adjustRightInd w:val="0"/>
        <w:spacing w:after="0" w:line="240" w:lineRule="auto"/>
        <w:ind w:left="-5"/>
        <w:rPr>
          <w:rFonts w:ascii="Times New Roman" w:hAnsi="Times New Roman" w:cs="Times New Roman"/>
          <w:sz w:val="8"/>
          <w:szCs w:val="8"/>
        </w:rPr>
      </w:pPr>
    </w:p>
    <w:p w14:paraId="125D5F59" w14:textId="77777777" w:rsidR="00FA66A2" w:rsidRDefault="00FA66A2" w:rsidP="00FA66A2">
      <w:pPr>
        <w:pStyle w:val="ListParagraph"/>
        <w:numPr>
          <w:ilvl w:val="0"/>
          <w:numId w:val="1"/>
        </w:num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 xml:space="preserve">The name of the Lenape country, </w:t>
      </w:r>
      <w:proofErr w:type="spellStart"/>
      <w:r w:rsidRPr="00974EDD">
        <w:rPr>
          <w:rFonts w:ascii="Times New Roman" w:hAnsi="Times New Roman" w:cs="Times New Roman"/>
          <w:sz w:val="16"/>
          <w:szCs w:val="16"/>
        </w:rPr>
        <w:t>Lënapehòkink</w:t>
      </w:r>
      <w:proofErr w:type="spellEnd"/>
      <w:r w:rsidRPr="00974EDD">
        <w:rPr>
          <w:rFonts w:ascii="Times New Roman" w:hAnsi="Times New Roman" w:cs="Times New Roman"/>
          <w:sz w:val="16"/>
          <w:szCs w:val="16"/>
        </w:rPr>
        <w:t>, is derived from the name of the nation itself, i.e., </w:t>
      </w:r>
      <w:proofErr w:type="spellStart"/>
      <w:r w:rsidRPr="00974EDD">
        <w:rPr>
          <w:rFonts w:ascii="Times New Roman" w:hAnsi="Times New Roman" w:cs="Times New Roman"/>
          <w:i/>
          <w:iCs/>
          <w:sz w:val="16"/>
          <w:szCs w:val="16"/>
        </w:rPr>
        <w:t>Lënape</w:t>
      </w:r>
      <w:proofErr w:type="spellEnd"/>
      <w:r w:rsidRPr="00974EDD">
        <w:rPr>
          <w:rFonts w:ascii="Times New Roman" w:hAnsi="Times New Roman" w:cs="Times New Roman"/>
          <w:sz w:val="16"/>
          <w:szCs w:val="16"/>
        </w:rPr>
        <w:t xml:space="preserve">, which means "real person" or "original person", along with </w:t>
      </w:r>
      <w:proofErr w:type="spellStart"/>
      <w:r w:rsidRPr="00974EDD">
        <w:rPr>
          <w:rFonts w:ascii="Times New Roman" w:hAnsi="Times New Roman" w:cs="Times New Roman"/>
          <w:i/>
          <w:iCs/>
          <w:sz w:val="16"/>
          <w:szCs w:val="16"/>
        </w:rPr>
        <w:t>hòki</w:t>
      </w:r>
      <w:proofErr w:type="spellEnd"/>
      <w:r w:rsidRPr="00974EDD">
        <w:rPr>
          <w:rFonts w:ascii="Times New Roman" w:hAnsi="Times New Roman" w:cs="Times New Roman"/>
          <w:sz w:val="16"/>
          <w:szCs w:val="16"/>
        </w:rPr>
        <w:t>, which originated from the Proto-Algonquian word </w:t>
      </w:r>
      <w:r w:rsidRPr="00974EDD">
        <w:rPr>
          <w:rFonts w:ascii="Times New Roman" w:hAnsi="Times New Roman" w:cs="Times New Roman"/>
          <w:i/>
          <w:iCs/>
          <w:sz w:val="16"/>
          <w:szCs w:val="16"/>
        </w:rPr>
        <w:t>*</w:t>
      </w:r>
      <w:proofErr w:type="spellStart"/>
      <w:r w:rsidRPr="00974EDD">
        <w:rPr>
          <w:rFonts w:ascii="Times New Roman" w:hAnsi="Times New Roman" w:cs="Times New Roman"/>
          <w:i/>
          <w:iCs/>
          <w:sz w:val="16"/>
          <w:szCs w:val="16"/>
        </w:rPr>
        <w:t>axskiy</w:t>
      </w:r>
      <w:proofErr w:type="spellEnd"/>
      <w:r w:rsidRPr="00974EDD">
        <w:rPr>
          <w:rFonts w:ascii="Times New Roman" w:hAnsi="Times New Roman" w:cs="Times New Roman"/>
          <w:sz w:val="16"/>
          <w:szCs w:val="16"/>
        </w:rPr>
        <w:t>, meaning "land", and the last element, </w:t>
      </w:r>
      <w:r w:rsidRPr="00974EDD">
        <w:rPr>
          <w:rFonts w:ascii="Times New Roman" w:hAnsi="Times New Roman" w:cs="Times New Roman"/>
          <w:i/>
          <w:iCs/>
          <w:sz w:val="16"/>
          <w:szCs w:val="16"/>
        </w:rPr>
        <w:t>-</w:t>
      </w:r>
      <w:proofErr w:type="spellStart"/>
      <w:r w:rsidRPr="00974EDD">
        <w:rPr>
          <w:rFonts w:ascii="Times New Roman" w:hAnsi="Times New Roman" w:cs="Times New Roman"/>
          <w:i/>
          <w:iCs/>
          <w:sz w:val="16"/>
          <w:szCs w:val="16"/>
        </w:rPr>
        <w:t>nk</w:t>
      </w:r>
      <w:proofErr w:type="spellEnd"/>
      <w:r w:rsidRPr="00974EDD">
        <w:rPr>
          <w:rFonts w:ascii="Times New Roman" w:hAnsi="Times New Roman" w:cs="Times New Roman"/>
          <w:sz w:val="16"/>
          <w:szCs w:val="16"/>
        </w:rPr>
        <w:t xml:space="preserve">, is the locative case suffix. In grammar, the </w:t>
      </w:r>
      <w:r w:rsidRPr="00974EDD">
        <w:rPr>
          <w:rFonts w:ascii="Times New Roman" w:hAnsi="Times New Roman" w:cs="Times New Roman"/>
          <w:b/>
          <w:bCs/>
          <w:sz w:val="16"/>
          <w:szCs w:val="16"/>
        </w:rPr>
        <w:t>locative case</w:t>
      </w:r>
      <w:r w:rsidRPr="00974EDD">
        <w:rPr>
          <w:rFonts w:ascii="Times New Roman" w:hAnsi="Times New Roman" w:cs="Times New Roman"/>
          <w:sz w:val="16"/>
          <w:szCs w:val="16"/>
        </w:rPr>
        <w:t xml:space="preserve"> customarily abbreviated </w:t>
      </w:r>
      <w:r w:rsidRPr="00974EDD">
        <w:rPr>
          <w:rFonts w:ascii="Times New Roman" w:hAnsi="Times New Roman" w:cs="Times New Roman"/>
          <w:b/>
          <w:bCs/>
          <w:sz w:val="16"/>
          <w:szCs w:val="16"/>
        </w:rPr>
        <w:t>LOC</w:t>
      </w:r>
      <w:r w:rsidRPr="00974EDD">
        <w:rPr>
          <w:rFonts w:ascii="Times New Roman" w:hAnsi="Times New Roman" w:cs="Times New Roman"/>
          <w:sz w:val="16"/>
          <w:szCs w:val="16"/>
        </w:rPr>
        <w:t xml:space="preserve">, is a grammatical case which indicates a location. In languages using it, the locative case may perform a function which in English would be expressed with such prepositions as "in", "on", "at", and "by". </w:t>
      </w:r>
      <w:proofErr w:type="spellStart"/>
      <w:r w:rsidRPr="00974EDD">
        <w:rPr>
          <w:rFonts w:ascii="Times New Roman" w:hAnsi="Times New Roman" w:cs="Times New Roman"/>
          <w:sz w:val="16"/>
          <w:szCs w:val="16"/>
        </w:rPr>
        <w:t>Lënapehòkink</w:t>
      </w:r>
      <w:proofErr w:type="spellEnd"/>
      <w:r w:rsidRPr="00974EDD">
        <w:rPr>
          <w:rFonts w:ascii="Times New Roman" w:hAnsi="Times New Roman" w:cs="Times New Roman"/>
          <w:sz w:val="16"/>
          <w:szCs w:val="16"/>
        </w:rPr>
        <w:t xml:space="preserve"> thus translates into "in the land of the Lenape". This term has since gained widespread acceptance and is found widely in recent literature on the Lenape and in New York institutions today as part of </w:t>
      </w:r>
      <w:r w:rsidRPr="00974EDD">
        <w:rPr>
          <w:rFonts w:ascii="Times New Roman" w:hAnsi="Times New Roman" w:cs="Times New Roman"/>
          <w:b/>
          <w:bCs/>
          <w:i/>
          <w:iCs/>
          <w:sz w:val="16"/>
          <w:szCs w:val="16"/>
        </w:rPr>
        <w:t>land acknowledgement</w:t>
      </w:r>
      <w:r w:rsidRPr="00974EDD">
        <w:rPr>
          <w:rFonts w:ascii="Times New Roman" w:hAnsi="Times New Roman" w:cs="Times New Roman"/>
          <w:sz w:val="16"/>
          <w:szCs w:val="16"/>
        </w:rPr>
        <w:t xml:space="preserve"> or </w:t>
      </w:r>
      <w:r w:rsidRPr="00974EDD">
        <w:rPr>
          <w:rFonts w:ascii="Times New Roman" w:hAnsi="Times New Roman" w:cs="Times New Roman"/>
          <w:b/>
          <w:bCs/>
          <w:i/>
          <w:iCs/>
          <w:sz w:val="16"/>
          <w:szCs w:val="16"/>
        </w:rPr>
        <w:t>territorial acknowledgement</w:t>
      </w:r>
      <w:r w:rsidRPr="00974EDD">
        <w:rPr>
          <w:rFonts w:ascii="Times New Roman" w:hAnsi="Times New Roman" w:cs="Times New Roman"/>
          <w:i/>
          <w:iCs/>
          <w:sz w:val="16"/>
          <w:szCs w:val="16"/>
        </w:rPr>
        <w:t xml:space="preserve"> </w:t>
      </w:r>
      <w:r w:rsidRPr="00974EDD">
        <w:rPr>
          <w:rFonts w:ascii="Times New Roman" w:hAnsi="Times New Roman" w:cs="Times New Roman"/>
          <w:sz w:val="16"/>
          <w:szCs w:val="16"/>
        </w:rPr>
        <w:t>processes. Another frequently used Lenape term that is often cited when referring specifically to New Jersey for much of the same region is </w:t>
      </w:r>
      <w:proofErr w:type="spellStart"/>
      <w:r w:rsidRPr="00974EDD">
        <w:rPr>
          <w:rFonts w:ascii="Times New Roman" w:hAnsi="Times New Roman" w:cs="Times New Roman"/>
          <w:i/>
          <w:iCs/>
          <w:sz w:val="16"/>
          <w:szCs w:val="16"/>
        </w:rPr>
        <w:t>Scheyischbi</w:t>
      </w:r>
      <w:proofErr w:type="spellEnd"/>
      <w:r w:rsidRPr="00974EDD">
        <w:rPr>
          <w:rFonts w:ascii="Times New Roman" w:hAnsi="Times New Roman" w:cs="Times New Roman"/>
          <w:sz w:val="16"/>
          <w:szCs w:val="16"/>
        </w:rPr>
        <w:t> or </w:t>
      </w:r>
      <w:proofErr w:type="spellStart"/>
      <w:r w:rsidRPr="00974EDD">
        <w:rPr>
          <w:rFonts w:ascii="Times New Roman" w:hAnsi="Times New Roman" w:cs="Times New Roman"/>
          <w:i/>
          <w:iCs/>
          <w:sz w:val="16"/>
          <w:szCs w:val="16"/>
        </w:rPr>
        <w:t>Scheyichbi</w:t>
      </w:r>
      <w:proofErr w:type="spellEnd"/>
      <w:r w:rsidRPr="00974EDD">
        <w:rPr>
          <w:rFonts w:ascii="Times New Roman" w:hAnsi="Times New Roman" w:cs="Times New Roman"/>
          <w:sz w:val="16"/>
          <w:szCs w:val="16"/>
        </w:rPr>
        <w:t xml:space="preserve">. </w:t>
      </w:r>
    </w:p>
    <w:p w14:paraId="231FA4F0" w14:textId="77777777" w:rsidR="00FA66A2" w:rsidRDefault="00FA66A2" w:rsidP="00FA66A2">
      <w:pPr>
        <w:pStyle w:val="ListParagraph"/>
        <w:numPr>
          <w:ilvl w:val="0"/>
          <w:numId w:val="1"/>
        </w:numPr>
        <w:autoSpaceDE w:val="0"/>
        <w:autoSpaceDN w:val="0"/>
        <w:adjustRightInd w:val="0"/>
        <w:spacing w:after="0" w:line="240" w:lineRule="auto"/>
        <w:ind w:left="-365"/>
        <w:rPr>
          <w:rFonts w:ascii="Times New Roman" w:hAnsi="Times New Roman" w:cs="Times New Roman"/>
          <w:sz w:val="16"/>
          <w:szCs w:val="16"/>
        </w:rPr>
      </w:pPr>
    </w:p>
    <w:p w14:paraId="1007493B" w14:textId="77777777" w:rsidR="00FA66A2" w:rsidRPr="00974EDD" w:rsidRDefault="00FA66A2" w:rsidP="00FA66A2">
      <w:pPr>
        <w:shd w:val="clear" w:color="auto" w:fill="000000" w:themeFill="text1"/>
        <w:autoSpaceDE w:val="0"/>
        <w:autoSpaceDN w:val="0"/>
        <w:adjustRightInd w:val="0"/>
        <w:spacing w:after="0" w:line="240" w:lineRule="auto"/>
        <w:ind w:left="-365"/>
        <w:jc w:val="center"/>
        <w:rPr>
          <w:rFonts w:ascii="Times New Roman" w:hAnsi="Times New Roman" w:cs="Times New Roman"/>
          <w:sz w:val="16"/>
          <w:szCs w:val="16"/>
        </w:rPr>
      </w:pPr>
      <w:r w:rsidRPr="00974EDD">
        <w:rPr>
          <w:rFonts w:ascii="Times New Roman" w:hAnsi="Times New Roman" w:cs="Times New Roman"/>
          <w:b/>
          <w:bCs/>
          <w:sz w:val="16"/>
          <w:szCs w:val="16"/>
          <w:lang w:val="en"/>
        </w:rPr>
        <w:t>Non-</w:t>
      </w:r>
      <w:r w:rsidRPr="00974EDD">
        <w:rPr>
          <w:rFonts w:ascii="Times New Roman" w:hAnsi="Times New Roman" w:cs="Times New Roman"/>
          <w:b/>
          <w:bCs/>
          <w:i/>
          <w:iCs/>
          <w:sz w:val="16"/>
          <w:szCs w:val="16"/>
          <w:lang w:val="en"/>
        </w:rPr>
        <w:t>judicial</w:t>
      </w:r>
      <w:r w:rsidRPr="00974EDD">
        <w:rPr>
          <w:rFonts w:ascii="Times New Roman" w:hAnsi="Times New Roman" w:cs="Times New Roman"/>
          <w:b/>
          <w:bCs/>
          <w:sz w:val="16"/>
          <w:szCs w:val="16"/>
          <w:lang w:val="en"/>
        </w:rPr>
        <w:t xml:space="preserve"> punishment</w:t>
      </w:r>
      <w:r>
        <w:rPr>
          <w:rFonts w:ascii="Times New Roman" w:hAnsi="Times New Roman" w:cs="Times New Roman"/>
          <w:b/>
          <w:bCs/>
          <w:sz w:val="16"/>
          <w:szCs w:val="16"/>
          <w:lang w:val="en"/>
        </w:rPr>
        <w:t xml:space="preserve"> of W-2 WARRANT OFFICER</w:t>
      </w:r>
    </w:p>
    <w:p w14:paraId="02911F33"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8"/>
          <w:szCs w:val="8"/>
        </w:rPr>
      </w:pPr>
    </w:p>
    <w:p w14:paraId="146694F0"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Non-</w:t>
      </w:r>
      <w:r w:rsidRPr="00974EDD">
        <w:rPr>
          <w:rFonts w:ascii="Times New Roman" w:hAnsi="Times New Roman" w:cs="Times New Roman"/>
          <w:i/>
          <w:iCs/>
          <w:sz w:val="16"/>
          <w:szCs w:val="16"/>
        </w:rPr>
        <w:t>judicia</w:t>
      </w:r>
      <w:r w:rsidRPr="00974EDD">
        <w:rPr>
          <w:rFonts w:ascii="Times New Roman" w:hAnsi="Times New Roman" w:cs="Times New Roman"/>
          <w:sz w:val="16"/>
          <w:szCs w:val="16"/>
        </w:rPr>
        <w:t>l punishment is not to be confused with Extrajudicial punishment. In the United States Armed Forces, </w:t>
      </w:r>
      <w:r w:rsidRPr="00974EDD">
        <w:rPr>
          <w:rFonts w:ascii="Times New Roman" w:hAnsi="Times New Roman" w:cs="Times New Roman"/>
          <w:b/>
          <w:bCs/>
          <w:sz w:val="16"/>
          <w:szCs w:val="16"/>
        </w:rPr>
        <w:t>non-judicial punishment</w:t>
      </w:r>
      <w:r w:rsidRPr="00974EDD">
        <w:rPr>
          <w:rFonts w:ascii="Times New Roman" w:hAnsi="Times New Roman" w:cs="Times New Roman"/>
          <w:sz w:val="16"/>
          <w:szCs w:val="16"/>
        </w:rPr>
        <w:t xml:space="preserve"> or </w:t>
      </w:r>
      <w:r w:rsidRPr="00974EDD">
        <w:rPr>
          <w:rFonts w:ascii="Times New Roman" w:hAnsi="Times New Roman" w:cs="Times New Roman"/>
          <w:b/>
          <w:bCs/>
          <w:sz w:val="16"/>
          <w:szCs w:val="16"/>
        </w:rPr>
        <w:t>NJP</w:t>
      </w:r>
      <w:r w:rsidRPr="00974EDD">
        <w:rPr>
          <w:rFonts w:ascii="Times New Roman" w:hAnsi="Times New Roman" w:cs="Times New Roman"/>
          <w:sz w:val="16"/>
          <w:szCs w:val="16"/>
        </w:rPr>
        <w:t xml:space="preserve"> is a disciplinary measure that may be applied to individual military personnel, without a need for a court-martial or similar proceedings, such as for a W-2 WARRANT OFFICER.</w:t>
      </w:r>
    </w:p>
    <w:p w14:paraId="3E6C7183"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8"/>
          <w:szCs w:val="8"/>
        </w:rPr>
      </w:pPr>
    </w:p>
    <w:p w14:paraId="614B9384"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In the United States Armed Forces, non-</w:t>
      </w:r>
      <w:r w:rsidRPr="00974EDD">
        <w:rPr>
          <w:rFonts w:ascii="Times New Roman" w:hAnsi="Times New Roman" w:cs="Times New Roman"/>
          <w:i/>
          <w:iCs/>
          <w:sz w:val="16"/>
          <w:szCs w:val="16"/>
        </w:rPr>
        <w:t>judicial</w:t>
      </w:r>
      <w:r w:rsidRPr="00974EDD">
        <w:rPr>
          <w:rFonts w:ascii="Times New Roman" w:hAnsi="Times New Roman" w:cs="Times New Roman"/>
          <w:sz w:val="16"/>
          <w:szCs w:val="16"/>
        </w:rPr>
        <w:t xml:space="preserve"> punishment is a form of military justice that is authorized by Article 15 of the Uniform Code of Military Justice or UCMJ. Its rules are further elaborated on in various branch policies, as well as the Manual for Courts-</w:t>
      </w:r>
      <w:r w:rsidRPr="00974EDD">
        <w:rPr>
          <w:rFonts w:ascii="Times New Roman" w:hAnsi="Times New Roman" w:cs="Times New Roman"/>
          <w:i/>
          <w:iCs/>
          <w:sz w:val="16"/>
          <w:szCs w:val="16"/>
        </w:rPr>
        <w:t>Martial</w:t>
      </w:r>
      <w:r w:rsidRPr="00974EDD">
        <w:rPr>
          <w:rFonts w:ascii="Times New Roman" w:hAnsi="Times New Roman" w:cs="Times New Roman"/>
          <w:sz w:val="16"/>
          <w:szCs w:val="16"/>
        </w:rPr>
        <w:t>. NJP permits commanders to administratively discipline troops without a court-</w:t>
      </w:r>
      <w:r w:rsidRPr="00974EDD">
        <w:rPr>
          <w:rFonts w:ascii="Times New Roman" w:hAnsi="Times New Roman" w:cs="Times New Roman"/>
          <w:i/>
          <w:iCs/>
          <w:sz w:val="16"/>
          <w:szCs w:val="16"/>
        </w:rPr>
        <w:t>martial</w:t>
      </w:r>
      <w:r w:rsidRPr="00974EDD">
        <w:rPr>
          <w:rFonts w:ascii="Times New Roman" w:hAnsi="Times New Roman" w:cs="Times New Roman"/>
          <w:sz w:val="16"/>
          <w:szCs w:val="16"/>
        </w:rPr>
        <w:t xml:space="preserve">. Punishment can range from reprimand to reduction in rank, correctional custody, loss of pay, extra duty, or restrictions depending on rank of the imposing officer and receiving officer. The receipt of NJP does not constitute a criminal conviction. </w:t>
      </w:r>
      <w:r w:rsidRPr="00974EDD">
        <w:rPr>
          <w:rFonts w:ascii="Times New Roman" w:hAnsi="Times New Roman" w:cs="Times New Roman"/>
          <w:b/>
          <w:bCs/>
          <w:sz w:val="16"/>
          <w:szCs w:val="16"/>
        </w:rPr>
        <w:t xml:space="preserve">Rather, it is equivalent to a civil </w:t>
      </w:r>
      <w:proofErr w:type="gramStart"/>
      <w:r w:rsidRPr="00974EDD">
        <w:rPr>
          <w:rFonts w:ascii="Times New Roman" w:hAnsi="Times New Roman" w:cs="Times New Roman"/>
          <w:b/>
          <w:bCs/>
          <w:sz w:val="16"/>
          <w:szCs w:val="16"/>
        </w:rPr>
        <w:t>action</w:t>
      </w:r>
      <w:r w:rsidRPr="00974EDD">
        <w:rPr>
          <w:rFonts w:ascii="Times New Roman" w:hAnsi="Times New Roman" w:cs="Times New Roman"/>
          <w:sz w:val="16"/>
          <w:szCs w:val="16"/>
        </w:rPr>
        <w:t>, but</w:t>
      </w:r>
      <w:proofErr w:type="gramEnd"/>
      <w:r w:rsidRPr="00974EDD">
        <w:rPr>
          <w:rFonts w:ascii="Times New Roman" w:hAnsi="Times New Roman" w:cs="Times New Roman"/>
          <w:sz w:val="16"/>
          <w:szCs w:val="16"/>
        </w:rPr>
        <w:t xml:space="preserve"> is often placed in the service record of the individual. The process for it is governed by Part V of the Manual for Courts</w:t>
      </w:r>
      <w:r w:rsidRPr="00974EDD">
        <w:rPr>
          <w:rFonts w:ascii="Times New Roman" w:hAnsi="Times New Roman" w:cs="Times New Roman"/>
          <w:i/>
          <w:iCs/>
          <w:sz w:val="16"/>
          <w:szCs w:val="16"/>
        </w:rPr>
        <w:t>-Martial</w:t>
      </w:r>
      <w:r w:rsidRPr="00974EDD">
        <w:rPr>
          <w:rFonts w:ascii="Times New Roman" w:hAnsi="Times New Roman" w:cs="Times New Roman"/>
          <w:sz w:val="16"/>
          <w:szCs w:val="16"/>
        </w:rPr>
        <w:t> and by each service branch's regulations.</w:t>
      </w:r>
    </w:p>
    <w:p w14:paraId="2B67227E"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8"/>
          <w:szCs w:val="8"/>
        </w:rPr>
      </w:pPr>
    </w:p>
    <w:p w14:paraId="2EA3190F"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Non-judicial punishment proceedings are known by different terms among the services. In the Army and the Air Force, NJP is referred to as </w:t>
      </w:r>
      <w:r w:rsidRPr="00974EDD">
        <w:rPr>
          <w:rFonts w:ascii="Times New Roman" w:hAnsi="Times New Roman" w:cs="Times New Roman"/>
          <w:b/>
          <w:bCs/>
          <w:sz w:val="16"/>
          <w:szCs w:val="16"/>
        </w:rPr>
        <w:t>Article 15</w:t>
      </w:r>
      <w:r w:rsidRPr="00974EDD">
        <w:rPr>
          <w:rFonts w:ascii="Times New Roman" w:hAnsi="Times New Roman" w:cs="Times New Roman"/>
          <w:sz w:val="16"/>
          <w:szCs w:val="16"/>
        </w:rPr>
        <w:t>; in the Marine Corps it is called being "</w:t>
      </w:r>
      <w:proofErr w:type="spellStart"/>
      <w:r w:rsidRPr="00974EDD">
        <w:rPr>
          <w:rFonts w:ascii="Times New Roman" w:hAnsi="Times New Roman" w:cs="Times New Roman"/>
          <w:sz w:val="16"/>
          <w:szCs w:val="16"/>
        </w:rPr>
        <w:t>NJP'd</w:t>
      </w:r>
      <w:proofErr w:type="spellEnd"/>
      <w:r w:rsidRPr="00974EDD">
        <w:rPr>
          <w:rFonts w:ascii="Times New Roman" w:hAnsi="Times New Roman" w:cs="Times New Roman"/>
          <w:sz w:val="16"/>
          <w:szCs w:val="16"/>
        </w:rPr>
        <w:t>", being sent to "Office Hours", or satirically among the junior ranks, "Ninja Punched". The Navy and the Coast Guard call NJP captain’s mast or admiral’s mast, depending on the rank of the commanding officer.</w:t>
      </w:r>
    </w:p>
    <w:p w14:paraId="420533C2"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8"/>
          <w:szCs w:val="8"/>
        </w:rPr>
      </w:pPr>
    </w:p>
    <w:p w14:paraId="5C9F751D" w14:textId="77777777" w:rsidR="00FA66A2" w:rsidRPr="00974EDD" w:rsidRDefault="00FA66A2" w:rsidP="00FA66A2">
      <w:pPr>
        <w:autoSpaceDE w:val="0"/>
        <w:autoSpaceDN w:val="0"/>
        <w:adjustRightInd w:val="0"/>
        <w:spacing w:after="0" w:line="240" w:lineRule="auto"/>
        <w:ind w:left="-365"/>
        <w:jc w:val="center"/>
        <w:rPr>
          <w:rFonts w:ascii="Times New Roman" w:hAnsi="Times New Roman" w:cs="Times New Roman"/>
          <w:b/>
          <w:bCs/>
          <w:sz w:val="16"/>
          <w:szCs w:val="16"/>
        </w:rPr>
      </w:pPr>
      <w:r w:rsidRPr="00974EDD">
        <w:rPr>
          <w:rFonts w:ascii="Times New Roman" w:hAnsi="Times New Roman" w:cs="Times New Roman"/>
          <w:b/>
          <w:bCs/>
          <w:sz w:val="16"/>
          <w:szCs w:val="16"/>
        </w:rPr>
        <w:t>Hearing</w:t>
      </w:r>
    </w:p>
    <w:p w14:paraId="6C5CB8FE"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b/>
          <w:bCs/>
          <w:sz w:val="8"/>
          <w:szCs w:val="8"/>
        </w:rPr>
      </w:pPr>
    </w:p>
    <w:p w14:paraId="3C31D1D9"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Prior to imposition of NJP, the commander notifies the accused of the commander's intention to impose punishment, the nature of the misconduct alleged, supporting evidence, and a statement of the accused's rights under the UCMJ. All service members, except those embarked or attached to a vessel currently away from its homeport, have a right to refuse NJP and request a court</w:t>
      </w:r>
      <w:r>
        <w:rPr>
          <w:rFonts w:ascii="Times New Roman" w:hAnsi="Times New Roman" w:cs="Times New Roman"/>
          <w:sz w:val="16"/>
          <w:szCs w:val="16"/>
        </w:rPr>
        <w:t xml:space="preserve"> </w:t>
      </w:r>
      <w:r w:rsidRPr="00974EDD">
        <w:rPr>
          <w:rFonts w:ascii="Times New Roman" w:hAnsi="Times New Roman" w:cs="Times New Roman"/>
          <w:sz w:val="16"/>
          <w:szCs w:val="16"/>
        </w:rPr>
        <w:t>martial. If the accused does not accept the NJP, the NJP hearing is terminated, and the commander must make the decision of whether to process the service member for court</w:t>
      </w:r>
      <w:r>
        <w:rPr>
          <w:rFonts w:ascii="Times New Roman" w:hAnsi="Times New Roman" w:cs="Times New Roman"/>
          <w:sz w:val="16"/>
          <w:szCs w:val="16"/>
        </w:rPr>
        <w:t xml:space="preserve"> </w:t>
      </w:r>
      <w:r w:rsidRPr="00974EDD">
        <w:rPr>
          <w:rFonts w:ascii="Times New Roman" w:hAnsi="Times New Roman" w:cs="Times New Roman"/>
          <w:sz w:val="16"/>
          <w:szCs w:val="16"/>
        </w:rPr>
        <w:t>martial. If the accused accepts NJP, the accused can choose to have a hearing or waive said right. If a hearing proceeds, the accused may choose to be accompanied by a spokesperson</w:t>
      </w:r>
      <w:r>
        <w:rPr>
          <w:rFonts w:ascii="Times New Roman" w:hAnsi="Times New Roman" w:cs="Times New Roman"/>
          <w:sz w:val="16"/>
          <w:szCs w:val="16"/>
        </w:rPr>
        <w:t>, i.e., an advocate</w:t>
      </w:r>
      <w:r w:rsidRPr="00974EDD">
        <w:rPr>
          <w:rFonts w:ascii="Times New Roman" w:hAnsi="Times New Roman" w:cs="Times New Roman"/>
          <w:sz w:val="16"/>
          <w:szCs w:val="16"/>
        </w:rPr>
        <w:t>. The accused may present evidence and witnesses to the commander. The commander must consider any information offered during the hearing and must be personally convinced that the service member committed misconduct before imposing punishment.</w:t>
      </w:r>
    </w:p>
    <w:p w14:paraId="5E4C491F"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8"/>
          <w:szCs w:val="8"/>
        </w:rPr>
      </w:pPr>
    </w:p>
    <w:p w14:paraId="2F9E1B8E" w14:textId="77777777" w:rsidR="00FA66A2" w:rsidRPr="00974EDD" w:rsidRDefault="00FA66A2" w:rsidP="00FA66A2">
      <w:pPr>
        <w:autoSpaceDE w:val="0"/>
        <w:autoSpaceDN w:val="0"/>
        <w:adjustRightInd w:val="0"/>
        <w:spacing w:after="0" w:line="240" w:lineRule="auto"/>
        <w:ind w:left="-365"/>
        <w:jc w:val="center"/>
        <w:rPr>
          <w:rFonts w:ascii="Times New Roman" w:hAnsi="Times New Roman" w:cs="Times New Roman"/>
          <w:b/>
          <w:bCs/>
          <w:sz w:val="16"/>
          <w:szCs w:val="16"/>
        </w:rPr>
      </w:pPr>
      <w:r w:rsidRPr="00974EDD">
        <w:rPr>
          <w:rFonts w:ascii="Times New Roman" w:hAnsi="Times New Roman" w:cs="Times New Roman"/>
          <w:b/>
          <w:bCs/>
          <w:sz w:val="16"/>
          <w:szCs w:val="16"/>
        </w:rPr>
        <w:t>Extrajudicial punishment</w:t>
      </w:r>
    </w:p>
    <w:p w14:paraId="5F93E2A3"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b/>
          <w:bCs/>
          <w:sz w:val="8"/>
          <w:szCs w:val="8"/>
        </w:rPr>
      </w:pPr>
    </w:p>
    <w:p w14:paraId="476A6F11"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b/>
          <w:bCs/>
          <w:i/>
          <w:iCs/>
          <w:sz w:val="16"/>
          <w:szCs w:val="16"/>
        </w:rPr>
        <w:t>Extrajudicial punishment is a punishment for an alleged crime or offense which is carried out without legal process or supervision by a court or tribunal through a legal proceeding.</w:t>
      </w:r>
      <w:r>
        <w:rPr>
          <w:rFonts w:ascii="Times New Roman" w:hAnsi="Times New Roman" w:cs="Times New Roman"/>
          <w:b/>
          <w:bCs/>
          <w:sz w:val="16"/>
          <w:szCs w:val="16"/>
        </w:rPr>
        <w:t xml:space="preserve"> </w:t>
      </w:r>
      <w:r w:rsidRPr="003D02D8">
        <w:rPr>
          <w:rFonts w:ascii="Times New Roman" w:hAnsi="Times New Roman" w:cs="Times New Roman"/>
          <w:sz w:val="16"/>
          <w:szCs w:val="16"/>
        </w:rPr>
        <w:t>In short, it is an extralegal process.</w:t>
      </w:r>
      <w:r w:rsidRPr="00974EDD">
        <w:rPr>
          <w:rFonts w:ascii="Times New Roman" w:hAnsi="Times New Roman" w:cs="Times New Roman"/>
          <w:sz w:val="16"/>
          <w:szCs w:val="16"/>
        </w:rPr>
        <w:t xml:space="preserve"> Extrajudicial punishment is often politically motivated, </w:t>
      </w:r>
      <w:r>
        <w:rPr>
          <w:rFonts w:ascii="Times New Roman" w:hAnsi="Times New Roman" w:cs="Times New Roman"/>
          <w:sz w:val="16"/>
          <w:szCs w:val="16"/>
        </w:rPr>
        <w:t>and</w:t>
      </w:r>
      <w:r w:rsidRPr="00974EDD">
        <w:rPr>
          <w:rFonts w:ascii="Times New Roman" w:hAnsi="Times New Roman" w:cs="Times New Roman"/>
          <w:sz w:val="16"/>
          <w:szCs w:val="16"/>
        </w:rPr>
        <w:t xml:space="preserve"> </w:t>
      </w:r>
      <w:r w:rsidRPr="00974EDD">
        <w:rPr>
          <w:rFonts w:ascii="Times New Roman" w:hAnsi="Times New Roman" w:cs="Times New Roman"/>
          <w:i/>
          <w:iCs/>
          <w:sz w:val="16"/>
          <w:szCs w:val="16"/>
        </w:rPr>
        <w:t>self-proclaimed</w:t>
      </w:r>
      <w:r w:rsidRPr="00974EDD">
        <w:rPr>
          <w:rFonts w:ascii="Times New Roman" w:hAnsi="Times New Roman" w:cs="Times New Roman"/>
          <w:sz w:val="16"/>
          <w:szCs w:val="16"/>
        </w:rPr>
        <w:t xml:space="preserve"> or internationally recognized democracies have been known to use extrajudicial punishment under certain circumstances.</w:t>
      </w:r>
    </w:p>
    <w:p w14:paraId="5933AF93"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8"/>
          <w:szCs w:val="8"/>
        </w:rPr>
      </w:pPr>
    </w:p>
    <w:p w14:paraId="2EE3706C"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Although the legal use of capital punishment is generally decreasing around the world, individuals or groups deemed threatening—or even simply "</w:t>
      </w:r>
      <w:proofErr w:type="gramStart"/>
      <w:r w:rsidRPr="00974EDD">
        <w:rPr>
          <w:rFonts w:ascii="Times New Roman" w:hAnsi="Times New Roman" w:cs="Times New Roman"/>
          <w:sz w:val="16"/>
          <w:szCs w:val="16"/>
        </w:rPr>
        <w:t>undesirable"—</w:t>
      </w:r>
      <w:proofErr w:type="gramEnd"/>
      <w:r w:rsidRPr="00974EDD">
        <w:rPr>
          <w:rFonts w:ascii="Times New Roman" w:hAnsi="Times New Roman" w:cs="Times New Roman"/>
          <w:sz w:val="16"/>
          <w:szCs w:val="16"/>
        </w:rPr>
        <w:t xml:space="preserve">to a government may nevertheless be targeted for punishment by a regime or its representatives. Such actions typically happen quickly, with security forces acting on a covert basis, performed in such a way as to avoid a massive public outcry and/or international criticism that would reflect badly on the state. Sometimes, the killers are agents outside the </w:t>
      </w:r>
      <w:proofErr w:type="gramStart"/>
      <w:r w:rsidRPr="00974EDD">
        <w:rPr>
          <w:rFonts w:ascii="Times New Roman" w:hAnsi="Times New Roman" w:cs="Times New Roman"/>
          <w:sz w:val="16"/>
          <w:szCs w:val="16"/>
        </w:rPr>
        <w:t>government</w:t>
      </w:r>
      <w:r>
        <w:rPr>
          <w:rFonts w:ascii="Times New Roman" w:hAnsi="Times New Roman" w:cs="Times New Roman"/>
          <w:sz w:val="16"/>
          <w:szCs w:val="16"/>
        </w:rPr>
        <w:t>,</w:t>
      </w:r>
      <w:proofErr w:type="gramEnd"/>
      <w:r>
        <w:rPr>
          <w:rFonts w:ascii="Times New Roman" w:hAnsi="Times New Roman" w:cs="Times New Roman"/>
          <w:sz w:val="16"/>
          <w:szCs w:val="16"/>
        </w:rPr>
        <w:t xml:space="preserve"> that are aligned with </w:t>
      </w:r>
      <w:r w:rsidRPr="003D02D8">
        <w:rPr>
          <w:rFonts w:ascii="Times New Roman" w:hAnsi="Times New Roman" w:cs="Times New Roman"/>
          <w:sz w:val="16"/>
          <w:szCs w:val="16"/>
        </w:rPr>
        <w:t>quasi-diplomatic and or quasi-military forces. Criminal</w:t>
      </w:r>
      <w:r w:rsidRPr="00974EDD">
        <w:rPr>
          <w:rFonts w:ascii="Times New Roman" w:hAnsi="Times New Roman" w:cs="Times New Roman"/>
          <w:sz w:val="16"/>
          <w:szCs w:val="16"/>
        </w:rPr>
        <w:t xml:space="preserve"> organizations, such as La Cosa Nostra, have reportedly been employed for such a purpose. Another possibility is for uniformed security forces to punish a victim, but under circumstances that make it appear as </w:t>
      </w:r>
      <w:r w:rsidRPr="00974EDD">
        <w:rPr>
          <w:rFonts w:ascii="Times New Roman" w:hAnsi="Times New Roman" w:cs="Times New Roman"/>
          <w:b/>
          <w:bCs/>
          <w:sz w:val="16"/>
          <w:szCs w:val="16"/>
        </w:rPr>
        <w:t>self-defense</w:t>
      </w:r>
      <w:r w:rsidRPr="00974EDD">
        <w:rPr>
          <w:rFonts w:ascii="Times New Roman" w:hAnsi="Times New Roman" w:cs="Times New Roman"/>
          <w:sz w:val="16"/>
          <w:szCs w:val="16"/>
        </w:rPr>
        <w:t xml:space="preserve"> or </w:t>
      </w:r>
      <w:r w:rsidRPr="00974EDD">
        <w:rPr>
          <w:rFonts w:ascii="Times New Roman" w:hAnsi="Times New Roman" w:cs="Times New Roman"/>
          <w:b/>
          <w:bCs/>
          <w:i/>
          <w:iCs/>
          <w:sz w:val="16"/>
          <w:szCs w:val="16"/>
        </w:rPr>
        <w:t>suicide</w:t>
      </w:r>
      <w:r w:rsidRPr="00974EDD">
        <w:rPr>
          <w:rFonts w:ascii="Times New Roman" w:hAnsi="Times New Roman" w:cs="Times New Roman"/>
          <w:sz w:val="16"/>
          <w:szCs w:val="16"/>
        </w:rPr>
        <w:t xml:space="preserve">. </w:t>
      </w:r>
    </w:p>
    <w:p w14:paraId="665CA6CA"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8"/>
          <w:szCs w:val="8"/>
        </w:rPr>
      </w:pPr>
    </w:p>
    <w:p w14:paraId="0B777F22" w14:textId="77777777" w:rsidR="00FA66A2" w:rsidRDefault="00FA66A2" w:rsidP="00FA66A2">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The former can be accomplished by planting recently fired weapons near the body, the latter by fabricating evidence suggesting suicide. In such cases, it can be difficult to prove that the perpetrators acted wrongly. Because of the dangers inherent in armed confrontation, even police or soldiers who might strongly prefer to take an enemy alive may still kill to protect themselves or civilians and potentially cross the line into </w:t>
      </w:r>
      <w:r w:rsidRPr="00974EDD">
        <w:rPr>
          <w:rFonts w:ascii="Times New Roman" w:hAnsi="Times New Roman" w:cs="Times New Roman"/>
          <w:i/>
          <w:iCs/>
          <w:sz w:val="16"/>
          <w:szCs w:val="16"/>
        </w:rPr>
        <w:t>extrajudicial murder</w:t>
      </w:r>
      <w:r w:rsidRPr="00974EDD">
        <w:rPr>
          <w:rFonts w:ascii="Times New Roman" w:hAnsi="Times New Roman" w:cs="Times New Roman"/>
          <w:sz w:val="16"/>
          <w:szCs w:val="16"/>
        </w:rPr>
        <w:t>.</w:t>
      </w:r>
    </w:p>
    <w:p w14:paraId="0254F679" w14:textId="77777777" w:rsidR="00FA66A2" w:rsidRPr="00913088" w:rsidRDefault="00FA66A2" w:rsidP="00FA66A2">
      <w:pPr>
        <w:autoSpaceDE w:val="0"/>
        <w:autoSpaceDN w:val="0"/>
        <w:adjustRightInd w:val="0"/>
        <w:spacing w:after="0" w:line="240" w:lineRule="auto"/>
        <w:ind w:left="-365"/>
        <w:rPr>
          <w:rFonts w:ascii="Times New Roman" w:hAnsi="Times New Roman" w:cs="Times New Roman"/>
          <w:sz w:val="8"/>
          <w:szCs w:val="8"/>
        </w:rPr>
      </w:pPr>
    </w:p>
    <w:p w14:paraId="10803F80"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 xml:space="preserve">A forced disappearance or enforced disappearance occurs when a person is secretly abducted or imprisoned by a state acting as a polity, a political organization or by a third party with the authorization, support, or acquiescence of a state or political organization, followed by a refusal to acknowledge the person's fate and whereabouts, with the intent of placing the victim </w:t>
      </w:r>
      <w:r w:rsidRPr="00974EDD">
        <w:rPr>
          <w:rFonts w:ascii="Times New Roman" w:hAnsi="Times New Roman" w:cs="Times New Roman"/>
          <w:b/>
          <w:bCs/>
          <w:i/>
          <w:iCs/>
          <w:sz w:val="16"/>
          <w:szCs w:val="16"/>
        </w:rPr>
        <w:t>outside</w:t>
      </w:r>
      <w:r w:rsidRPr="00974EDD">
        <w:rPr>
          <w:rFonts w:ascii="Times New Roman" w:hAnsi="Times New Roman" w:cs="Times New Roman"/>
          <w:sz w:val="16"/>
          <w:szCs w:val="16"/>
        </w:rPr>
        <w:t xml:space="preserve"> the protection of the law. </w:t>
      </w:r>
    </w:p>
    <w:p w14:paraId="2310C62E"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8"/>
          <w:szCs w:val="8"/>
        </w:rPr>
      </w:pPr>
    </w:p>
    <w:p w14:paraId="558F916D" w14:textId="77777777" w:rsidR="00FA66A2" w:rsidRDefault="00FA66A2" w:rsidP="00FA66A2">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 xml:space="preserve">Extrajudicial punishment may be planned and carried out by a particular branch of a state, without informing other branches, or even without having been ordered to commit such acts. Other branches sometimes tacitly approve of the punishment after the fact. They can also genuinely disagree with it, depending on the circumstances, especially when complex </w:t>
      </w:r>
      <w:r>
        <w:rPr>
          <w:rFonts w:ascii="Times New Roman" w:hAnsi="Times New Roman" w:cs="Times New Roman"/>
          <w:sz w:val="16"/>
          <w:szCs w:val="16"/>
        </w:rPr>
        <w:t xml:space="preserve">societal </w:t>
      </w:r>
      <w:r w:rsidRPr="00974EDD">
        <w:rPr>
          <w:rFonts w:ascii="Times New Roman" w:hAnsi="Times New Roman" w:cs="Times New Roman"/>
          <w:sz w:val="16"/>
          <w:szCs w:val="16"/>
        </w:rPr>
        <w:t>intragovernmental or internal policy struggles also exist within a state's policymaking apparatus.</w:t>
      </w:r>
      <w:r>
        <w:rPr>
          <w:rFonts w:ascii="Times New Roman" w:hAnsi="Times New Roman" w:cs="Times New Roman"/>
          <w:sz w:val="16"/>
          <w:szCs w:val="16"/>
        </w:rPr>
        <w:t xml:space="preserve"> </w:t>
      </w:r>
    </w:p>
    <w:p w14:paraId="7FCADDB5" w14:textId="77777777" w:rsidR="00FA66A2" w:rsidRPr="00913088" w:rsidRDefault="00FA66A2" w:rsidP="00FA66A2">
      <w:pPr>
        <w:autoSpaceDE w:val="0"/>
        <w:autoSpaceDN w:val="0"/>
        <w:adjustRightInd w:val="0"/>
        <w:spacing w:after="0" w:line="240" w:lineRule="auto"/>
        <w:ind w:left="-365"/>
        <w:rPr>
          <w:rFonts w:ascii="Times New Roman" w:hAnsi="Times New Roman" w:cs="Times New Roman"/>
          <w:sz w:val="8"/>
          <w:szCs w:val="8"/>
        </w:rPr>
      </w:pPr>
    </w:p>
    <w:p w14:paraId="24A8642A" w14:textId="77777777" w:rsidR="00FA66A2" w:rsidRPr="00913088" w:rsidRDefault="00FA66A2" w:rsidP="00FA66A2">
      <w:pPr>
        <w:autoSpaceDE w:val="0"/>
        <w:autoSpaceDN w:val="0"/>
        <w:adjustRightInd w:val="0"/>
        <w:spacing w:after="0" w:line="240" w:lineRule="auto"/>
        <w:ind w:left="-365"/>
        <w:rPr>
          <w:rFonts w:ascii="Times New Roman" w:hAnsi="Times New Roman" w:cs="Times New Roman"/>
          <w:sz w:val="16"/>
          <w:szCs w:val="16"/>
        </w:rPr>
      </w:pPr>
      <w:r w:rsidRPr="00913088">
        <w:rPr>
          <w:rFonts w:ascii="Times New Roman" w:hAnsi="Times New Roman" w:cs="Times New Roman"/>
          <w:sz w:val="16"/>
          <w:szCs w:val="16"/>
        </w:rPr>
        <w:t xml:space="preserve">A complex society is a term that is mostly used as shorthand to indicate a society with intricate political organization and using technology to expand economic production. It is characterized by the following modern features: 1) Organizational society wherein its economy is structured according to specialization and a division of labor. These economic features spawn a bureaucratic class and often lead to inequality. Leading to the rise of a </w:t>
      </w:r>
      <w:r w:rsidRPr="00913088">
        <w:rPr>
          <w:rFonts w:ascii="Times New Roman" w:hAnsi="Times New Roman" w:cs="Times New Roman"/>
          <w:i/>
          <w:iCs/>
          <w:sz w:val="16"/>
          <w:szCs w:val="16"/>
        </w:rPr>
        <w:t>ruling elite</w:t>
      </w:r>
      <w:r w:rsidRPr="00913088">
        <w:rPr>
          <w:rFonts w:ascii="Times New Roman" w:hAnsi="Times New Roman" w:cs="Times New Roman"/>
          <w:sz w:val="16"/>
          <w:szCs w:val="16"/>
        </w:rPr>
        <w:t xml:space="preserve">. 2) Archaeologically, features such as big architectural projects such as temples, palaces, public works </w:t>
      </w:r>
      <w:proofErr w:type="spellStart"/>
      <w:r w:rsidRPr="00913088">
        <w:rPr>
          <w:rFonts w:ascii="Times New Roman" w:hAnsi="Times New Roman" w:cs="Times New Roman"/>
          <w:sz w:val="16"/>
          <w:szCs w:val="16"/>
        </w:rPr>
        <w:t>etc</w:t>
      </w:r>
      <w:proofErr w:type="spellEnd"/>
      <w:r w:rsidRPr="00913088">
        <w:rPr>
          <w:rFonts w:ascii="Times New Roman" w:hAnsi="Times New Roman" w:cs="Times New Roman"/>
          <w:sz w:val="16"/>
          <w:szCs w:val="16"/>
        </w:rPr>
        <w:t xml:space="preserve"> and prescribed </w:t>
      </w:r>
      <w:r w:rsidRPr="00913088">
        <w:rPr>
          <w:rFonts w:ascii="Times New Roman" w:hAnsi="Times New Roman" w:cs="Times New Roman"/>
          <w:i/>
          <w:iCs/>
          <w:sz w:val="16"/>
          <w:szCs w:val="16"/>
        </w:rPr>
        <w:t>burial rites</w:t>
      </w:r>
      <w:r w:rsidRPr="00913088">
        <w:rPr>
          <w:rFonts w:ascii="Times New Roman" w:hAnsi="Times New Roman" w:cs="Times New Roman"/>
          <w:sz w:val="16"/>
          <w:szCs w:val="16"/>
        </w:rPr>
        <w:t xml:space="preserve">. 3) </w:t>
      </w:r>
      <w:proofErr w:type="gramStart"/>
      <w:r w:rsidRPr="00913088">
        <w:rPr>
          <w:rFonts w:ascii="Times New Roman" w:hAnsi="Times New Roman" w:cs="Times New Roman"/>
          <w:sz w:val="16"/>
          <w:szCs w:val="16"/>
        </w:rPr>
        <w:t xml:space="preserve">Large scale </w:t>
      </w:r>
      <w:r w:rsidRPr="00913088">
        <w:rPr>
          <w:rFonts w:ascii="Times New Roman" w:hAnsi="Times New Roman" w:cs="Times New Roman"/>
          <w:sz w:val="16"/>
          <w:szCs w:val="16"/>
        </w:rPr>
        <w:lastRenderedPageBreak/>
        <w:t>agricultural development,</w:t>
      </w:r>
      <w:proofErr w:type="gramEnd"/>
      <w:r w:rsidRPr="00913088">
        <w:rPr>
          <w:rFonts w:ascii="Times New Roman" w:hAnsi="Times New Roman" w:cs="Times New Roman"/>
          <w:sz w:val="16"/>
          <w:szCs w:val="16"/>
        </w:rPr>
        <w:t xml:space="preserve"> leads to surplus food, which allows members of the society the time for developing and practicing specialized skill sets, other than farming in the traditional sense as opposed to tax farming or financing. 4) Organized </w:t>
      </w:r>
      <w:r w:rsidRPr="00913088">
        <w:rPr>
          <w:rFonts w:ascii="Times New Roman" w:hAnsi="Times New Roman" w:cs="Times New Roman"/>
          <w:i/>
          <w:iCs/>
          <w:sz w:val="16"/>
          <w:szCs w:val="16"/>
        </w:rPr>
        <w:t>political structure</w:t>
      </w:r>
      <w:r w:rsidRPr="00913088">
        <w:rPr>
          <w:rFonts w:ascii="Times New Roman" w:hAnsi="Times New Roman" w:cs="Times New Roman"/>
          <w:sz w:val="16"/>
          <w:szCs w:val="16"/>
        </w:rPr>
        <w:t xml:space="preserve"> and </w:t>
      </w:r>
      <w:r w:rsidRPr="00913088">
        <w:rPr>
          <w:rFonts w:ascii="Times New Roman" w:hAnsi="Times New Roman" w:cs="Times New Roman"/>
          <w:i/>
          <w:iCs/>
          <w:sz w:val="16"/>
          <w:szCs w:val="16"/>
        </w:rPr>
        <w:t>state institutions.</w:t>
      </w:r>
    </w:p>
    <w:p w14:paraId="6B175906"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8"/>
          <w:szCs w:val="8"/>
        </w:rPr>
      </w:pPr>
    </w:p>
    <w:p w14:paraId="79BF3D1A"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In times of war, natural disaster, societal collapse, or in the absence of an established system of criminal justice, there may be increased incidences of extrajudicial punishment. In such circumstances, police or military personnel may be unofficially authorized to severely punish individuals involved in looting, rioting and other violent acts, especially if caught </w:t>
      </w:r>
      <w:r w:rsidRPr="00974EDD">
        <w:rPr>
          <w:rFonts w:ascii="Times New Roman" w:hAnsi="Times New Roman" w:cs="Times New Roman"/>
          <w:i/>
          <w:iCs/>
          <w:sz w:val="16"/>
          <w:szCs w:val="16"/>
        </w:rPr>
        <w:t xml:space="preserve">in flagrante delicto, </w:t>
      </w:r>
      <w:r w:rsidRPr="00974EDD">
        <w:rPr>
          <w:rFonts w:ascii="Times New Roman" w:hAnsi="Times New Roman" w:cs="Times New Roman"/>
          <w:sz w:val="16"/>
          <w:szCs w:val="16"/>
        </w:rPr>
        <w:t>i.e., is caught red handed. This position is sometimes itself corrupted, resulting in the death of merely </w:t>
      </w:r>
      <w:r w:rsidRPr="00913088">
        <w:rPr>
          <w:rFonts w:ascii="Times New Roman" w:hAnsi="Times New Roman" w:cs="Times New Roman"/>
          <w:b/>
          <w:bCs/>
          <w:i/>
          <w:iCs/>
          <w:sz w:val="16"/>
          <w:szCs w:val="16"/>
        </w:rPr>
        <w:t>inconvenient</w:t>
      </w:r>
      <w:r w:rsidRPr="00974EDD">
        <w:rPr>
          <w:rFonts w:ascii="Times New Roman" w:hAnsi="Times New Roman" w:cs="Times New Roman"/>
          <w:sz w:val="16"/>
          <w:szCs w:val="16"/>
        </w:rPr>
        <w:t> </w:t>
      </w:r>
      <w:r w:rsidRPr="009D5004">
        <w:rPr>
          <w:rFonts w:ascii="Times New Roman" w:hAnsi="Times New Roman" w:cs="Times New Roman"/>
          <w:b/>
          <w:bCs/>
          <w:i/>
          <w:iCs/>
          <w:sz w:val="16"/>
          <w:szCs w:val="16"/>
        </w:rPr>
        <w:t>persons</w:t>
      </w:r>
      <w:r w:rsidRPr="00974EDD">
        <w:rPr>
          <w:rFonts w:ascii="Times New Roman" w:hAnsi="Times New Roman" w:cs="Times New Roman"/>
          <w:sz w:val="16"/>
          <w:szCs w:val="16"/>
        </w:rPr>
        <w:t>, that is, relative innocents who are just in the wrong place at the wrong time.</w:t>
      </w:r>
    </w:p>
    <w:p w14:paraId="38980D73" w14:textId="77777777" w:rsidR="00FA66A2" w:rsidRPr="00974EDD" w:rsidRDefault="00FA66A2" w:rsidP="00FA66A2">
      <w:pPr>
        <w:autoSpaceDE w:val="0"/>
        <w:autoSpaceDN w:val="0"/>
        <w:adjustRightInd w:val="0"/>
        <w:spacing w:after="0" w:line="240" w:lineRule="auto"/>
        <w:rPr>
          <w:rFonts w:ascii="Times New Roman" w:hAnsi="Times New Roman" w:cs="Times New Roman"/>
          <w:sz w:val="2"/>
          <w:szCs w:val="2"/>
        </w:rPr>
      </w:pPr>
    </w:p>
    <w:p w14:paraId="3C48CA1F" w14:textId="77777777" w:rsidR="00FA66A2" w:rsidRPr="00974EDD" w:rsidRDefault="00FA66A2" w:rsidP="00FA66A2">
      <w:pPr>
        <w:autoSpaceDE w:val="0"/>
        <w:autoSpaceDN w:val="0"/>
        <w:adjustRightInd w:val="0"/>
        <w:spacing w:after="0" w:line="240" w:lineRule="auto"/>
        <w:rPr>
          <w:rFonts w:ascii="Times New Roman" w:hAnsi="Times New Roman" w:cs="Times New Roman"/>
          <w:sz w:val="16"/>
          <w:szCs w:val="16"/>
        </w:rPr>
      </w:pPr>
    </w:p>
    <w:p w14:paraId="4F7EDCD4" w14:textId="77777777" w:rsidR="00FA66A2" w:rsidRPr="005E770B" w:rsidRDefault="00FA66A2" w:rsidP="00FA66A2">
      <w:pPr>
        <w:pStyle w:val="ListParagraph"/>
        <w:shd w:val="clear" w:color="auto" w:fill="0E2841" w:themeFill="text2"/>
        <w:autoSpaceDE w:val="0"/>
        <w:autoSpaceDN w:val="0"/>
        <w:adjustRightInd w:val="0"/>
        <w:spacing w:after="0" w:line="240" w:lineRule="auto"/>
        <w:ind w:left="-365"/>
        <w:jc w:val="center"/>
        <w:rPr>
          <w:rFonts w:ascii="Times New Roman" w:hAnsi="Times New Roman" w:cs="Times New Roman"/>
          <w:b/>
          <w:bCs/>
          <w:sz w:val="16"/>
          <w:szCs w:val="16"/>
        </w:rPr>
      </w:pPr>
      <w:r w:rsidRPr="005E770B">
        <w:rPr>
          <w:rFonts w:ascii="Times New Roman" w:hAnsi="Times New Roman" w:cs="Times New Roman"/>
          <w:b/>
          <w:bCs/>
          <w:sz w:val="16"/>
          <w:szCs w:val="16"/>
        </w:rPr>
        <w:t>UNDERSTANDING THE FICTIVE UNITED STATES GENEALOGY</w:t>
      </w:r>
    </w:p>
    <w:p w14:paraId="50EA9B7D"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sz w:val="8"/>
          <w:szCs w:val="8"/>
        </w:rPr>
      </w:pPr>
    </w:p>
    <w:p w14:paraId="535BE885"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b/>
          <w:bCs/>
          <w:color w:val="C00000"/>
          <w:sz w:val="16"/>
          <w:szCs w:val="16"/>
        </w:rPr>
      </w:pPr>
      <w:r w:rsidRPr="005E770B">
        <w:rPr>
          <w:rFonts w:ascii="Times New Roman" w:hAnsi="Times New Roman" w:cs="Times New Roman"/>
          <w:b/>
          <w:bCs/>
          <w:color w:val="C00000"/>
          <w:sz w:val="16"/>
          <w:szCs w:val="16"/>
        </w:rPr>
        <w:t>Imperial genealogists invented early House of Luxembourg forefathers for Charles IV, extending back to Noah via Jupiter and Saturn.</w:t>
      </w:r>
    </w:p>
    <w:p w14:paraId="07F4158E"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b/>
          <w:bCs/>
          <w:color w:val="C00000"/>
          <w:sz w:val="8"/>
          <w:szCs w:val="8"/>
        </w:rPr>
      </w:pPr>
    </w:p>
    <w:p w14:paraId="39EB96E4" w14:textId="77777777" w:rsidR="00FA66A2" w:rsidRPr="005E770B" w:rsidRDefault="00FA66A2" w:rsidP="00FA66A2">
      <w:pPr>
        <w:pStyle w:val="ListParagraph"/>
        <w:autoSpaceDE w:val="0"/>
        <w:autoSpaceDN w:val="0"/>
        <w:adjustRightInd w:val="0"/>
        <w:spacing w:line="240" w:lineRule="auto"/>
        <w:ind w:left="-365"/>
        <w:rPr>
          <w:rFonts w:ascii="Times New Roman" w:hAnsi="Times New Roman" w:cs="Times New Roman"/>
          <w:b/>
          <w:bCs/>
          <w:sz w:val="16"/>
          <w:szCs w:val="16"/>
        </w:rPr>
      </w:pPr>
      <w:r w:rsidRPr="005E770B">
        <w:rPr>
          <w:rFonts w:ascii="Times New Roman" w:hAnsi="Times New Roman" w:cs="Times New Roman"/>
          <w:sz w:val="16"/>
          <w:szCs w:val="16"/>
        </w:rPr>
        <w:t xml:space="preserve">Charles IV allegedly had one illegitimate son named William, born in 1362 to an unknown woman. He was raised in Brabant and seems to have joined his father at the time of the latter's trip to France in 1377. He was acknowledged by his father, who sought a papal dispensation for him to marry within the fourth degree. It is unknown if he ever married. He served his Bohemian relatives as a diplomat, but his </w:t>
      </w:r>
      <w:proofErr w:type="gramStart"/>
      <w:r w:rsidRPr="005E770B">
        <w:rPr>
          <w:rFonts w:ascii="Times New Roman" w:hAnsi="Times New Roman" w:cs="Times New Roman"/>
          <w:sz w:val="16"/>
          <w:szCs w:val="16"/>
        </w:rPr>
        <w:t>ultimate fate</w:t>
      </w:r>
      <w:proofErr w:type="gramEnd"/>
      <w:r w:rsidRPr="005E770B">
        <w:rPr>
          <w:rFonts w:ascii="Times New Roman" w:hAnsi="Times New Roman" w:cs="Times New Roman"/>
          <w:sz w:val="16"/>
          <w:szCs w:val="16"/>
        </w:rPr>
        <w:t xml:space="preserve"> </w:t>
      </w:r>
      <w:r>
        <w:rPr>
          <w:rFonts w:ascii="Times New Roman" w:hAnsi="Times New Roman" w:cs="Times New Roman"/>
          <w:sz w:val="16"/>
          <w:szCs w:val="16"/>
        </w:rPr>
        <w:t>remains</w:t>
      </w:r>
      <w:r w:rsidRPr="005E770B">
        <w:rPr>
          <w:rFonts w:ascii="Times New Roman" w:hAnsi="Times New Roman" w:cs="Times New Roman"/>
          <w:sz w:val="16"/>
          <w:szCs w:val="16"/>
        </w:rPr>
        <w:t xml:space="preserve"> unknown</w:t>
      </w:r>
      <w:r w:rsidRPr="005E770B">
        <w:rPr>
          <w:rFonts w:ascii="Times New Roman" w:hAnsi="Times New Roman" w:cs="Times New Roman"/>
          <w:b/>
          <w:bCs/>
          <w:sz w:val="16"/>
          <w:szCs w:val="16"/>
        </w:rPr>
        <w:t>. His name was Wenceslaus IV. He became King of Bohemia and was known for his tumultuous reign that was marked by political challenges and conflicts.</w:t>
      </w:r>
    </w:p>
    <w:p w14:paraId="1E088C69" w14:textId="77777777" w:rsidR="00FA66A2" w:rsidRPr="005E770B" w:rsidRDefault="00FA66A2" w:rsidP="00FA66A2">
      <w:pPr>
        <w:pStyle w:val="ListParagraph"/>
        <w:autoSpaceDE w:val="0"/>
        <w:autoSpaceDN w:val="0"/>
        <w:adjustRightInd w:val="0"/>
        <w:spacing w:line="240" w:lineRule="auto"/>
        <w:ind w:left="-365"/>
        <w:rPr>
          <w:rFonts w:ascii="Times New Roman" w:hAnsi="Times New Roman" w:cs="Times New Roman"/>
          <w:b/>
          <w:bCs/>
          <w:sz w:val="8"/>
          <w:szCs w:val="8"/>
        </w:rPr>
      </w:pPr>
    </w:p>
    <w:p w14:paraId="48FF5AFB" w14:textId="77777777" w:rsidR="00FA66A2" w:rsidRPr="005E770B" w:rsidRDefault="00FA66A2" w:rsidP="00FA66A2">
      <w:pPr>
        <w:pStyle w:val="ListParagraph"/>
        <w:autoSpaceDE w:val="0"/>
        <w:autoSpaceDN w:val="0"/>
        <w:adjustRightInd w:val="0"/>
        <w:spacing w:line="240" w:lineRule="auto"/>
        <w:ind w:left="355"/>
        <w:rPr>
          <w:rFonts w:ascii="Times New Roman" w:hAnsi="Times New Roman" w:cs="Times New Roman"/>
          <w:sz w:val="16"/>
          <w:szCs w:val="16"/>
        </w:rPr>
      </w:pPr>
      <w:r w:rsidRPr="005E770B">
        <w:rPr>
          <w:rFonts w:ascii="Times New Roman" w:hAnsi="Times New Roman" w:cs="Times New Roman"/>
          <w:sz w:val="16"/>
          <w:szCs w:val="16"/>
        </w:rPr>
        <w:t xml:space="preserve">Wenceslaus IV was born on February 26, 1361, in Nuremberg, as the eldest son of Charles IV, Holy Roman Emperor, and his third wife, Anne of </w:t>
      </w:r>
      <w:proofErr w:type="spellStart"/>
      <w:r w:rsidRPr="005E770B">
        <w:rPr>
          <w:rFonts w:ascii="Times New Roman" w:hAnsi="Times New Roman" w:cs="Times New Roman"/>
          <w:sz w:val="16"/>
          <w:szCs w:val="16"/>
        </w:rPr>
        <w:t>Schweidnitz</w:t>
      </w:r>
      <w:proofErr w:type="spellEnd"/>
      <w:r w:rsidRPr="005E770B">
        <w:rPr>
          <w:rFonts w:ascii="Times New Roman" w:hAnsi="Times New Roman" w:cs="Times New Roman"/>
          <w:sz w:val="16"/>
          <w:szCs w:val="16"/>
        </w:rPr>
        <w:t xml:space="preserve">. He was crowned King of Bohemia in 1363 and later became King of the Romans in 1376. His early life was marked by a privileged upbringing, receiving a comprehensive education that prepared him for leadership. His reign which began after his father's death in 1378, was characterized by significant difficulties. He struggled to maintain control over his territories, facing opposition from the nobility and various factions within the kingdom. His inability to effectively manage these conflicts led to a state of virtual anarchy in Bohemia and Germany. Despite his initial promise, Wenceslaus was often criticized for his indecisiveness and indulgent lifestyle, which included a penchant for hunting and drinking. This reputation for incompetence ultimately resulted in his deposition by the nobility in 1400, after which he was replaced by Rupert of the Palatinate as King of the Romans. His reign is often viewed as a period of decline for the German monarchy, setting the stage for further conflicts, including the Hussite Wars. He died on August 16, 1419, leaving behind an unresolved </w:t>
      </w:r>
      <w:r w:rsidRPr="005E770B">
        <w:rPr>
          <w:rFonts w:ascii="Times New Roman" w:hAnsi="Times New Roman" w:cs="Times New Roman"/>
          <w:b/>
          <w:bCs/>
          <w:i/>
          <w:iCs/>
          <w:sz w:val="16"/>
          <w:szCs w:val="16"/>
        </w:rPr>
        <w:t>complex</w:t>
      </w:r>
      <w:r w:rsidRPr="005E770B">
        <w:rPr>
          <w:rFonts w:ascii="Times New Roman" w:hAnsi="Times New Roman" w:cs="Times New Roman"/>
          <w:sz w:val="16"/>
          <w:szCs w:val="16"/>
        </w:rPr>
        <w:t xml:space="preserve"> legacy that included both cultural contributions and political turmoil.</w:t>
      </w:r>
    </w:p>
    <w:p w14:paraId="075229ED" w14:textId="77777777" w:rsidR="00FA66A2" w:rsidRPr="005E770B" w:rsidRDefault="00FA66A2" w:rsidP="00FA66A2">
      <w:pPr>
        <w:pStyle w:val="ListParagraph"/>
        <w:autoSpaceDE w:val="0"/>
        <w:autoSpaceDN w:val="0"/>
        <w:adjustRightInd w:val="0"/>
        <w:spacing w:line="240" w:lineRule="auto"/>
        <w:ind w:left="355"/>
        <w:rPr>
          <w:rFonts w:ascii="Times New Roman" w:hAnsi="Times New Roman" w:cs="Times New Roman"/>
          <w:sz w:val="8"/>
          <w:szCs w:val="8"/>
        </w:rPr>
      </w:pPr>
    </w:p>
    <w:p w14:paraId="761F1B4C"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sz w:val="16"/>
          <w:szCs w:val="16"/>
        </w:rPr>
      </w:pPr>
      <w:r w:rsidRPr="005E770B">
        <w:rPr>
          <w:rFonts w:ascii="Times New Roman" w:hAnsi="Times New Roman" w:cs="Times New Roman"/>
          <w:sz w:val="16"/>
          <w:szCs w:val="16"/>
        </w:rPr>
        <w:t xml:space="preserve">The </w:t>
      </w:r>
      <w:proofErr w:type="spellStart"/>
      <w:r w:rsidRPr="005E770B">
        <w:rPr>
          <w:rFonts w:ascii="Times New Roman" w:hAnsi="Times New Roman" w:cs="Times New Roman"/>
          <w:b/>
          <w:bCs/>
          <w:i/>
          <w:iCs/>
          <w:sz w:val="16"/>
          <w:szCs w:val="16"/>
        </w:rPr>
        <w:t>Privilegium</w:t>
      </w:r>
      <w:proofErr w:type="spellEnd"/>
      <w:r w:rsidRPr="005E770B">
        <w:rPr>
          <w:rFonts w:ascii="Times New Roman" w:hAnsi="Times New Roman" w:cs="Times New Roman"/>
          <w:b/>
          <w:bCs/>
          <w:i/>
          <w:iCs/>
          <w:sz w:val="16"/>
          <w:szCs w:val="16"/>
        </w:rPr>
        <w:t xml:space="preserve"> </w:t>
      </w:r>
      <w:proofErr w:type="spellStart"/>
      <w:r w:rsidRPr="005E770B">
        <w:rPr>
          <w:rFonts w:ascii="Times New Roman" w:hAnsi="Times New Roman" w:cs="Times New Roman"/>
          <w:b/>
          <w:bCs/>
          <w:i/>
          <w:iCs/>
          <w:sz w:val="16"/>
          <w:szCs w:val="16"/>
        </w:rPr>
        <w:t>maius</w:t>
      </w:r>
      <w:proofErr w:type="spellEnd"/>
      <w:r w:rsidRPr="005E770B">
        <w:rPr>
          <w:rFonts w:ascii="Times New Roman" w:hAnsi="Times New Roman" w:cs="Times New Roman"/>
          <w:sz w:val="16"/>
          <w:szCs w:val="16"/>
        </w:rPr>
        <w:t xml:space="preserve"> originated from German: </w:t>
      </w:r>
      <w:r w:rsidRPr="005E770B">
        <w:rPr>
          <w:rFonts w:ascii="Times New Roman" w:hAnsi="Times New Roman" w:cs="Times New Roman"/>
          <w:i/>
          <w:iCs/>
          <w:sz w:val="16"/>
          <w:szCs w:val="16"/>
          <w:lang w:val="de-DE"/>
        </w:rPr>
        <w:t>Großer Freiheitsbrief</w:t>
      </w:r>
      <w:r w:rsidRPr="005E770B">
        <w:rPr>
          <w:rFonts w:ascii="Times New Roman" w:hAnsi="Times New Roman" w:cs="Times New Roman"/>
          <w:sz w:val="16"/>
          <w:szCs w:val="16"/>
        </w:rPr>
        <w:t xml:space="preserve"> meaning </w:t>
      </w:r>
      <w:r w:rsidRPr="005E770B">
        <w:rPr>
          <w:rFonts w:ascii="Times New Roman" w:hAnsi="Times New Roman" w:cs="Times New Roman"/>
          <w:b/>
          <w:bCs/>
          <w:sz w:val="16"/>
          <w:szCs w:val="16"/>
        </w:rPr>
        <w:t>'greater privilege'</w:t>
      </w:r>
      <w:r w:rsidRPr="005E770B">
        <w:rPr>
          <w:rFonts w:ascii="Times New Roman" w:hAnsi="Times New Roman" w:cs="Times New Roman"/>
          <w:sz w:val="16"/>
          <w:szCs w:val="16"/>
        </w:rPr>
        <w:t xml:space="preserve">, is a medieval document that was forged circa 1358 or 1359 at the behest of Duke Rudolf IV of Austria (1358–1365) of the House of Habsburg. The forged document was essentially an altered and expanded version of the </w:t>
      </w:r>
      <w:proofErr w:type="spellStart"/>
      <w:r w:rsidRPr="005E770B">
        <w:rPr>
          <w:rFonts w:ascii="Times New Roman" w:hAnsi="Times New Roman" w:cs="Times New Roman"/>
          <w:i/>
          <w:iCs/>
          <w:sz w:val="16"/>
          <w:szCs w:val="16"/>
        </w:rPr>
        <w:t>Privilegium</w:t>
      </w:r>
      <w:proofErr w:type="spellEnd"/>
      <w:r w:rsidRPr="005E770B">
        <w:rPr>
          <w:rFonts w:ascii="Times New Roman" w:hAnsi="Times New Roman" w:cs="Times New Roman"/>
          <w:i/>
          <w:iCs/>
          <w:sz w:val="16"/>
          <w:szCs w:val="16"/>
        </w:rPr>
        <w:t xml:space="preserve"> minus</w:t>
      </w:r>
      <w:r w:rsidRPr="005E770B">
        <w:rPr>
          <w:rFonts w:ascii="Times New Roman" w:hAnsi="Times New Roman" w:cs="Times New Roman"/>
          <w:sz w:val="16"/>
          <w:szCs w:val="16"/>
        </w:rPr>
        <w:t xml:space="preserve"> that was previously issued by Emperor Frederick I Barbarossa in 1156, which served to elevate the former March of Austria, i.e., the Territory of Austria, into the status of Duchy of Austria. </w:t>
      </w:r>
    </w:p>
    <w:p w14:paraId="22672746"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sz w:val="8"/>
          <w:szCs w:val="8"/>
        </w:rPr>
      </w:pPr>
    </w:p>
    <w:p w14:paraId="6A5A7B39"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sz w:val="16"/>
          <w:szCs w:val="16"/>
        </w:rPr>
      </w:pPr>
      <w:r w:rsidRPr="005E770B">
        <w:rPr>
          <w:rFonts w:ascii="Times New Roman" w:hAnsi="Times New Roman" w:cs="Times New Roman"/>
          <w:sz w:val="16"/>
          <w:szCs w:val="16"/>
        </w:rPr>
        <w:t xml:space="preserve">The </w:t>
      </w:r>
      <w:r w:rsidRPr="005E770B">
        <w:rPr>
          <w:rFonts w:ascii="Times New Roman" w:hAnsi="Times New Roman" w:cs="Times New Roman"/>
          <w:b/>
          <w:bCs/>
          <w:i/>
          <w:iCs/>
          <w:sz w:val="16"/>
          <w:szCs w:val="16"/>
          <w:lang w:val="la-Latn"/>
        </w:rPr>
        <w:t>Privilegium Minus</w:t>
      </w:r>
      <w:r w:rsidRPr="005E770B">
        <w:rPr>
          <w:rFonts w:ascii="Times New Roman" w:hAnsi="Times New Roman" w:cs="Times New Roman"/>
          <w:sz w:val="16"/>
          <w:szCs w:val="16"/>
        </w:rPr>
        <w:t xml:space="preserve"> was a </w:t>
      </w:r>
      <w:r w:rsidRPr="005E770B">
        <w:rPr>
          <w:rFonts w:ascii="Times New Roman" w:hAnsi="Times New Roman" w:cs="Times New Roman"/>
          <w:i/>
          <w:iCs/>
          <w:sz w:val="16"/>
          <w:szCs w:val="16"/>
        </w:rPr>
        <w:t>deed</w:t>
      </w:r>
      <w:r w:rsidRPr="005E770B">
        <w:rPr>
          <w:rFonts w:ascii="Times New Roman" w:hAnsi="Times New Roman" w:cs="Times New Roman"/>
          <w:sz w:val="16"/>
          <w:szCs w:val="16"/>
        </w:rPr>
        <w:t xml:space="preserve"> issued by Holy Roman Emperor Frederick Barbarossa on 17 September 1156. It included the elevation of the Bavarian frontier march of Austria (</w:t>
      </w:r>
      <w:proofErr w:type="spellStart"/>
      <w:r w:rsidRPr="005E770B">
        <w:rPr>
          <w:rFonts w:ascii="Times New Roman" w:hAnsi="Times New Roman" w:cs="Times New Roman"/>
          <w:i/>
          <w:iCs/>
          <w:sz w:val="16"/>
          <w:szCs w:val="16"/>
        </w:rPr>
        <w:t>Ostarrîchi</w:t>
      </w:r>
      <w:proofErr w:type="spellEnd"/>
      <w:r w:rsidRPr="005E770B">
        <w:rPr>
          <w:rFonts w:ascii="Times New Roman" w:hAnsi="Times New Roman" w:cs="Times New Roman"/>
          <w:sz w:val="16"/>
          <w:szCs w:val="16"/>
        </w:rPr>
        <w:t xml:space="preserve">) to a duchy or territory, which was given as an inheritable fief to the House of Babenberg. </w:t>
      </w:r>
    </w:p>
    <w:p w14:paraId="2C362EE5"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sz w:val="8"/>
          <w:szCs w:val="8"/>
        </w:rPr>
      </w:pPr>
    </w:p>
    <w:p w14:paraId="35B1E454"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A </w:t>
      </w:r>
      <w:r w:rsidRPr="005E770B">
        <w:rPr>
          <w:rFonts w:ascii="Times New Roman" w:hAnsi="Times New Roman" w:cs="Times New Roman"/>
          <w:b/>
          <w:bCs/>
          <w:sz w:val="16"/>
          <w:szCs w:val="16"/>
        </w:rPr>
        <w:t>deed</w:t>
      </w:r>
      <w:r w:rsidRPr="005E770B">
        <w:rPr>
          <w:rFonts w:ascii="Times New Roman" w:hAnsi="Times New Roman" w:cs="Times New Roman"/>
          <w:sz w:val="16"/>
          <w:szCs w:val="16"/>
        </w:rPr>
        <w:t xml:space="preserve"> is a legal document that is signed and delivered, especially concerning the ownership of property or legal rights. Specifically, in common law, a deed is any legal instrument in writing which passes, affirms or confirms an interest, right, or property and that is signed, attested, delivered, and in some jurisdictions, sealed. It is commonly associated with transferring or conveyancing title </w:t>
      </w:r>
      <w:r w:rsidRPr="005E770B">
        <w:rPr>
          <w:rStyle w:val="Hyperlink"/>
          <w:rFonts w:ascii="Times New Roman" w:hAnsi="Times New Roman" w:cs="Times New Roman"/>
          <w:color w:val="auto"/>
          <w:sz w:val="16"/>
          <w:szCs w:val="16"/>
          <w:u w:val="none"/>
        </w:rPr>
        <w:t>or legal ownership</w:t>
      </w:r>
      <w:r w:rsidRPr="009D5004">
        <w:rPr>
          <w:rStyle w:val="Hyperlink"/>
          <w:rFonts w:ascii="Times New Roman" w:hAnsi="Times New Roman" w:cs="Times New Roman"/>
          <w:color w:val="auto"/>
          <w:sz w:val="16"/>
          <w:szCs w:val="16"/>
          <w:u w:val="none"/>
        </w:rPr>
        <w:t xml:space="preserve"> </w:t>
      </w:r>
      <w:r w:rsidRPr="005E770B">
        <w:rPr>
          <w:rFonts w:ascii="Times New Roman" w:hAnsi="Times New Roman" w:cs="Times New Roman"/>
          <w:sz w:val="16"/>
          <w:szCs w:val="16"/>
        </w:rPr>
        <w:t xml:space="preserve">to property. The deed has a greater presumption of validity and is less rebuttable than an instrument signed by the party to the deed. A deed can be unilateral or bilateral. Deeds include conveyances, commissions, licenses, patents, diplomas, and </w:t>
      </w:r>
      <w:r w:rsidRPr="005E770B">
        <w:rPr>
          <w:rFonts w:ascii="Times New Roman" w:hAnsi="Times New Roman" w:cs="Times New Roman"/>
          <w:b/>
          <w:bCs/>
          <w:i/>
          <w:iCs/>
          <w:sz w:val="16"/>
          <w:szCs w:val="16"/>
        </w:rPr>
        <w:t>conditionally</w:t>
      </w:r>
      <w:r w:rsidRPr="005E770B">
        <w:rPr>
          <w:rFonts w:ascii="Times New Roman" w:hAnsi="Times New Roman" w:cs="Times New Roman"/>
          <w:sz w:val="16"/>
          <w:szCs w:val="16"/>
        </w:rPr>
        <w:t xml:space="preserve"> powers of attorney if executed as deeds. </w:t>
      </w:r>
      <w:r w:rsidRPr="005E770B">
        <w:rPr>
          <w:rFonts w:ascii="Times New Roman" w:hAnsi="Times New Roman" w:cs="Times New Roman"/>
          <w:b/>
          <w:bCs/>
          <w:i/>
          <w:iCs/>
          <w:sz w:val="16"/>
          <w:szCs w:val="16"/>
        </w:rPr>
        <w:t>The deed is the modern descendant of the medieval charter,</w:t>
      </w:r>
      <w:r w:rsidRPr="005E770B">
        <w:rPr>
          <w:rFonts w:ascii="Times New Roman" w:hAnsi="Times New Roman" w:cs="Times New Roman"/>
          <w:sz w:val="16"/>
          <w:szCs w:val="16"/>
        </w:rPr>
        <w:t xml:space="preserve"> and delivery is thought to symbolically replace the ancient ceremony of livery of seisin. </w:t>
      </w:r>
      <w:r w:rsidRPr="005E770B">
        <w:rPr>
          <w:rFonts w:ascii="Times New Roman" w:hAnsi="Times New Roman" w:cs="Times New Roman"/>
          <w:b/>
          <w:bCs/>
          <w:sz w:val="16"/>
          <w:szCs w:val="16"/>
        </w:rPr>
        <w:t>Livery of seisin</w:t>
      </w:r>
      <w:r w:rsidRPr="005E770B">
        <w:rPr>
          <w:rFonts w:ascii="Times New Roman" w:hAnsi="Times New Roman" w:cs="Times New Roman"/>
          <w:sz w:val="16"/>
          <w:szCs w:val="16"/>
        </w:rPr>
        <w:t xml:space="preserve"> is an archaic </w:t>
      </w:r>
      <w:r w:rsidRPr="005E770B">
        <w:rPr>
          <w:rFonts w:ascii="Times New Roman" w:hAnsi="Times New Roman" w:cs="Times New Roman"/>
          <w:b/>
          <w:bCs/>
          <w:i/>
          <w:iCs/>
          <w:sz w:val="16"/>
          <w:szCs w:val="16"/>
        </w:rPr>
        <w:t>legal conveyancing</w:t>
      </w:r>
      <w:r w:rsidRPr="005E770B">
        <w:rPr>
          <w:rFonts w:ascii="Times New Roman" w:hAnsi="Times New Roman" w:cs="Times New Roman"/>
          <w:sz w:val="16"/>
          <w:szCs w:val="16"/>
        </w:rPr>
        <w:t xml:space="preserve"> ceremony, formerly practiced in feudal England and in other countries following English common law. It was used to convey holdings in real property. The traditional phrase </w:t>
      </w:r>
      <w:r w:rsidRPr="005E770B">
        <w:rPr>
          <w:rFonts w:ascii="Times New Roman" w:hAnsi="Times New Roman" w:cs="Times New Roman"/>
          <w:i/>
          <w:iCs/>
          <w:sz w:val="16"/>
          <w:szCs w:val="16"/>
        </w:rPr>
        <w:t>signed, sealed and delivered</w:t>
      </w:r>
      <w:r w:rsidRPr="005E770B">
        <w:rPr>
          <w:rFonts w:ascii="Times New Roman" w:hAnsi="Times New Roman" w:cs="Times New Roman"/>
          <w:sz w:val="16"/>
          <w:szCs w:val="16"/>
        </w:rPr>
        <w:t xml:space="preserve"> refers to the practice of using seals; however, attesting witnesses have replaced seals to some extent. </w:t>
      </w:r>
      <w:r w:rsidRPr="005E770B">
        <w:rPr>
          <w:rFonts w:ascii="Times New Roman" w:hAnsi="Times New Roman" w:cs="Times New Roman"/>
          <w:b/>
          <w:bCs/>
          <w:i/>
          <w:iCs/>
          <w:sz w:val="16"/>
          <w:szCs w:val="16"/>
        </w:rPr>
        <w:t>An agreement under seal may also be called a contract by deed or a specialty; in the United States, a specialty is enforceable without consideration</w:t>
      </w:r>
      <w:r w:rsidRPr="005E770B">
        <w:rPr>
          <w:rFonts w:ascii="Times New Roman" w:hAnsi="Times New Roman" w:cs="Times New Roman"/>
          <w:sz w:val="16"/>
          <w:szCs w:val="16"/>
        </w:rPr>
        <w:t xml:space="preserve">. In some jurisdictions, specialties have a legal liability limitation period of double that of a simple contract and allow for a </w:t>
      </w:r>
      <w:proofErr w:type="gramStart"/>
      <w:r w:rsidRPr="005E770B">
        <w:rPr>
          <w:rFonts w:ascii="Times New Roman" w:hAnsi="Times New Roman" w:cs="Times New Roman"/>
          <w:sz w:val="16"/>
          <w:szCs w:val="16"/>
        </w:rPr>
        <w:t>third party</w:t>
      </w:r>
      <w:proofErr w:type="gramEnd"/>
      <w:r w:rsidRPr="005E770B">
        <w:rPr>
          <w:rFonts w:ascii="Times New Roman" w:hAnsi="Times New Roman" w:cs="Times New Roman"/>
          <w:sz w:val="16"/>
          <w:szCs w:val="16"/>
        </w:rPr>
        <w:t xml:space="preserve"> beneficiary to enforce an undertaking in the deed.</w:t>
      </w:r>
    </w:p>
    <w:p w14:paraId="04913BE4"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sz w:val="8"/>
          <w:szCs w:val="8"/>
        </w:rPr>
      </w:pPr>
    </w:p>
    <w:p w14:paraId="52B35758"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sz w:val="16"/>
          <w:szCs w:val="16"/>
        </w:rPr>
      </w:pPr>
      <w:r w:rsidRPr="005E770B">
        <w:rPr>
          <w:rFonts w:ascii="Times New Roman" w:hAnsi="Times New Roman" w:cs="Times New Roman"/>
          <w:sz w:val="16"/>
          <w:szCs w:val="16"/>
        </w:rPr>
        <w:t xml:space="preserve">The </w:t>
      </w:r>
      <w:r w:rsidRPr="005E770B">
        <w:rPr>
          <w:rFonts w:ascii="Times New Roman" w:hAnsi="Times New Roman" w:cs="Times New Roman"/>
          <w:b/>
          <w:bCs/>
          <w:sz w:val="16"/>
          <w:szCs w:val="16"/>
        </w:rPr>
        <w:t>Margraviate of Austria</w:t>
      </w:r>
      <w:r w:rsidRPr="005E770B">
        <w:rPr>
          <w:rFonts w:ascii="Times New Roman" w:hAnsi="Times New Roman" w:cs="Times New Roman"/>
          <w:sz w:val="16"/>
          <w:szCs w:val="16"/>
        </w:rPr>
        <w:t xml:space="preserve"> from the Latin: </w:t>
      </w:r>
      <w:r w:rsidRPr="005E770B">
        <w:rPr>
          <w:rFonts w:ascii="Times New Roman" w:hAnsi="Times New Roman" w:cs="Times New Roman"/>
          <w:i/>
          <w:iCs/>
          <w:sz w:val="16"/>
          <w:szCs w:val="16"/>
          <w:lang w:val="la-Latn"/>
        </w:rPr>
        <w:t>Marcha Austriae</w:t>
      </w:r>
      <w:r w:rsidRPr="005E770B">
        <w:rPr>
          <w:rFonts w:ascii="Times New Roman" w:hAnsi="Times New Roman" w:cs="Times New Roman"/>
          <w:sz w:val="16"/>
          <w:szCs w:val="16"/>
        </w:rPr>
        <w:t xml:space="preserve">; and German: </w:t>
      </w:r>
      <w:r w:rsidRPr="005E770B">
        <w:rPr>
          <w:rFonts w:ascii="Times New Roman" w:hAnsi="Times New Roman" w:cs="Times New Roman"/>
          <w:i/>
          <w:iCs/>
          <w:sz w:val="16"/>
          <w:szCs w:val="16"/>
          <w:lang w:val="de-DE"/>
        </w:rPr>
        <w:t>Markgrafschaft Österreich</w:t>
      </w:r>
      <w:r w:rsidRPr="005E770B">
        <w:rPr>
          <w:rFonts w:ascii="Times New Roman" w:hAnsi="Times New Roman" w:cs="Times New Roman"/>
          <w:sz w:val="16"/>
          <w:szCs w:val="16"/>
        </w:rPr>
        <w:t xml:space="preserve"> was a medieval frontier march or territory, was centered along the river Danube, between the river Enns and the Vienna Woods or </w:t>
      </w:r>
      <w:r w:rsidRPr="005E770B">
        <w:rPr>
          <w:rFonts w:ascii="Times New Roman" w:hAnsi="Times New Roman" w:cs="Times New Roman"/>
          <w:i/>
          <w:iCs/>
          <w:sz w:val="16"/>
          <w:szCs w:val="16"/>
          <w:lang w:val="de-DE"/>
        </w:rPr>
        <w:t>Wienerwald</w:t>
      </w:r>
      <w:r w:rsidRPr="005E770B">
        <w:rPr>
          <w:rFonts w:ascii="Times New Roman" w:hAnsi="Times New Roman" w:cs="Times New Roman"/>
          <w:sz w:val="16"/>
          <w:szCs w:val="16"/>
        </w:rPr>
        <w:t xml:space="preserve">, within the territory of the modern Austrian provinces of Upper Austria and Lower Austria. The territory was initially created for the defense of eastern Bavarian borders against the </w:t>
      </w:r>
      <w:proofErr w:type="spellStart"/>
      <w:r w:rsidRPr="005E770B">
        <w:rPr>
          <w:rFonts w:ascii="Times New Roman" w:hAnsi="Times New Roman" w:cs="Times New Roman"/>
          <w:sz w:val="16"/>
          <w:szCs w:val="16"/>
        </w:rPr>
        <w:t>Avars</w:t>
      </w:r>
      <w:proofErr w:type="spellEnd"/>
      <w:r w:rsidRPr="005E770B">
        <w:rPr>
          <w:rFonts w:ascii="Times New Roman" w:hAnsi="Times New Roman" w:cs="Times New Roman"/>
          <w:sz w:val="16"/>
          <w:szCs w:val="16"/>
        </w:rPr>
        <w:t xml:space="preserve">, who were defeated and conquered during the reign of Charlemagne (d. 814). Throughout the Frankish period, the region was under jurisdiction of Eastern Frankish rulers, who held Bavaria and appointed </w:t>
      </w:r>
      <w:r w:rsidRPr="005E770B">
        <w:rPr>
          <w:rFonts w:ascii="Times New Roman" w:hAnsi="Times New Roman" w:cs="Times New Roman"/>
          <w:b/>
          <w:bCs/>
          <w:i/>
          <w:iCs/>
          <w:sz w:val="16"/>
          <w:szCs w:val="16"/>
        </w:rPr>
        <w:t xml:space="preserve">frontier commanders or </w:t>
      </w:r>
      <w:proofErr w:type="gramStart"/>
      <w:r w:rsidRPr="005E770B">
        <w:rPr>
          <w:rFonts w:ascii="Times New Roman" w:hAnsi="Times New Roman" w:cs="Times New Roman"/>
          <w:b/>
          <w:bCs/>
          <w:i/>
          <w:iCs/>
          <w:sz w:val="16"/>
          <w:szCs w:val="16"/>
        </w:rPr>
        <w:t>counts</w:t>
      </w:r>
      <w:proofErr w:type="gramEnd"/>
      <w:r w:rsidRPr="005E770B">
        <w:rPr>
          <w:rFonts w:ascii="Times New Roman" w:hAnsi="Times New Roman" w:cs="Times New Roman"/>
          <w:sz w:val="16"/>
          <w:szCs w:val="16"/>
        </w:rPr>
        <w:t xml:space="preserve"> in eastern regions. Since 976, it was governed by margraves from the Franconian noble House of Babenberg. The margraviate protected the eastern borders of the Holy Roman Empire, towards neighboring Hungary. It became an Imperial State </w:t>
      </w:r>
      <w:proofErr w:type="gramStart"/>
      <w:r w:rsidRPr="005E770B">
        <w:rPr>
          <w:rFonts w:ascii="Times New Roman" w:hAnsi="Times New Roman" w:cs="Times New Roman"/>
          <w:sz w:val="16"/>
          <w:szCs w:val="16"/>
        </w:rPr>
        <w:t>in its own right when</w:t>
      </w:r>
      <w:proofErr w:type="gramEnd"/>
      <w:r w:rsidRPr="005E770B">
        <w:rPr>
          <w:rFonts w:ascii="Times New Roman" w:hAnsi="Times New Roman" w:cs="Times New Roman"/>
          <w:sz w:val="16"/>
          <w:szCs w:val="16"/>
        </w:rPr>
        <w:t xml:space="preserve"> the Austrian margraves were elevated to Dukes of Austria in 1156. The territory existed from c. 970 to 1156.</w:t>
      </w:r>
    </w:p>
    <w:p w14:paraId="452AA9AE"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sz w:val="8"/>
          <w:szCs w:val="8"/>
        </w:rPr>
      </w:pPr>
    </w:p>
    <w:p w14:paraId="10BC4278"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sz w:val="16"/>
          <w:szCs w:val="16"/>
        </w:rPr>
      </w:pPr>
      <w:r w:rsidRPr="005E770B">
        <w:rPr>
          <w:rFonts w:ascii="Times New Roman" w:hAnsi="Times New Roman" w:cs="Times New Roman"/>
          <w:sz w:val="16"/>
          <w:szCs w:val="16"/>
        </w:rPr>
        <w:t xml:space="preserve">The </w:t>
      </w:r>
      <w:proofErr w:type="spellStart"/>
      <w:r w:rsidRPr="005E770B">
        <w:rPr>
          <w:rFonts w:ascii="Times New Roman" w:hAnsi="Times New Roman" w:cs="Times New Roman"/>
          <w:i/>
          <w:iCs/>
          <w:sz w:val="16"/>
          <w:szCs w:val="16"/>
        </w:rPr>
        <w:t>Privilegium</w:t>
      </w:r>
      <w:proofErr w:type="spellEnd"/>
      <w:r w:rsidRPr="005E770B">
        <w:rPr>
          <w:rFonts w:ascii="Times New Roman" w:hAnsi="Times New Roman" w:cs="Times New Roman"/>
          <w:i/>
          <w:iCs/>
          <w:sz w:val="16"/>
          <w:szCs w:val="16"/>
        </w:rPr>
        <w:t xml:space="preserve"> </w:t>
      </w:r>
      <w:proofErr w:type="spellStart"/>
      <w:r w:rsidRPr="005E770B">
        <w:rPr>
          <w:rFonts w:ascii="Times New Roman" w:hAnsi="Times New Roman" w:cs="Times New Roman"/>
          <w:i/>
          <w:iCs/>
          <w:sz w:val="16"/>
          <w:szCs w:val="16"/>
        </w:rPr>
        <w:t>maius</w:t>
      </w:r>
      <w:proofErr w:type="spellEnd"/>
      <w:r w:rsidRPr="005E770B">
        <w:rPr>
          <w:rFonts w:ascii="Times New Roman" w:hAnsi="Times New Roman" w:cs="Times New Roman"/>
          <w:sz w:val="16"/>
          <w:szCs w:val="16"/>
        </w:rPr>
        <w:t xml:space="preserve"> claimed various rights and privileges for the Dukes of Austria. It was the main document from a set of five forged charters, that were devised as a response to the Golden Bull of 1356, issued by </w:t>
      </w:r>
      <w:r w:rsidRPr="005E770B">
        <w:rPr>
          <w:rFonts w:ascii="Times New Roman" w:hAnsi="Times New Roman" w:cs="Times New Roman"/>
          <w:b/>
          <w:bCs/>
          <w:sz w:val="16"/>
          <w:szCs w:val="16"/>
        </w:rPr>
        <w:t>Holy Roman</w:t>
      </w:r>
      <w:r w:rsidRPr="005E770B">
        <w:rPr>
          <w:rFonts w:ascii="Times New Roman" w:hAnsi="Times New Roman" w:cs="Times New Roman"/>
          <w:sz w:val="16"/>
          <w:szCs w:val="16"/>
        </w:rPr>
        <w:t xml:space="preserve"> </w:t>
      </w:r>
      <w:r w:rsidRPr="005E770B">
        <w:rPr>
          <w:rFonts w:ascii="Times New Roman" w:hAnsi="Times New Roman" w:cs="Times New Roman"/>
          <w:b/>
          <w:bCs/>
          <w:sz w:val="16"/>
          <w:szCs w:val="16"/>
        </w:rPr>
        <w:t>Emperor Charles IV</w:t>
      </w:r>
      <w:r w:rsidRPr="005E770B">
        <w:rPr>
          <w:rFonts w:ascii="Times New Roman" w:hAnsi="Times New Roman" w:cs="Times New Roman"/>
          <w:sz w:val="16"/>
          <w:szCs w:val="16"/>
        </w:rPr>
        <w:t xml:space="preserve"> who did not include the Duke of Austria among the seven prince-electors of the Holy Roman Empire. </w:t>
      </w:r>
      <w:r w:rsidRPr="005E770B">
        <w:rPr>
          <w:rFonts w:ascii="Times New Roman" w:hAnsi="Times New Roman" w:cs="Times New Roman"/>
          <w:b/>
          <w:bCs/>
          <w:sz w:val="16"/>
          <w:szCs w:val="16"/>
        </w:rPr>
        <w:t>Charles IV was elected King of Germany and King of the Romans in 1346, before becoming King of Bohemia as Charles I that same year</w:t>
      </w:r>
      <w:r w:rsidRPr="005E770B">
        <w:rPr>
          <w:rFonts w:ascii="Times New Roman" w:hAnsi="Times New Roman" w:cs="Times New Roman"/>
          <w:sz w:val="16"/>
          <w:szCs w:val="16"/>
        </w:rPr>
        <w:t xml:space="preserve">. </w:t>
      </w:r>
    </w:p>
    <w:p w14:paraId="214EA94C"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sz w:val="8"/>
          <w:szCs w:val="8"/>
        </w:rPr>
      </w:pPr>
    </w:p>
    <w:p w14:paraId="61C188D2"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sz w:val="16"/>
          <w:szCs w:val="16"/>
        </w:rPr>
      </w:pPr>
      <w:r w:rsidRPr="005E770B">
        <w:rPr>
          <w:rFonts w:ascii="Times New Roman" w:hAnsi="Times New Roman" w:cs="Times New Roman"/>
          <w:sz w:val="16"/>
          <w:szCs w:val="16"/>
        </w:rPr>
        <w:t xml:space="preserve">He was a member of the House of Luxembourg from his father's side and the Bohemian House of Přemysl from his mother's side; he emphasized the latter due to his lifelong affinity for the Bohemian side of his inheritance, and also because his direct ancestors in the </w:t>
      </w:r>
      <w:proofErr w:type="spellStart"/>
      <w:r w:rsidRPr="005E770B">
        <w:rPr>
          <w:rFonts w:ascii="Times New Roman" w:hAnsi="Times New Roman" w:cs="Times New Roman"/>
          <w:sz w:val="16"/>
          <w:szCs w:val="16"/>
        </w:rPr>
        <w:t>Přemyslid</w:t>
      </w:r>
      <w:proofErr w:type="spellEnd"/>
      <w:r w:rsidRPr="005E770B">
        <w:rPr>
          <w:rFonts w:ascii="Times New Roman" w:hAnsi="Times New Roman" w:cs="Times New Roman"/>
          <w:sz w:val="16"/>
          <w:szCs w:val="16"/>
        </w:rPr>
        <w:t xml:space="preserve"> line included two saints.</w:t>
      </w:r>
    </w:p>
    <w:p w14:paraId="58AAD3AD"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sz w:val="8"/>
          <w:szCs w:val="8"/>
        </w:rPr>
      </w:pPr>
    </w:p>
    <w:p w14:paraId="2C878990"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w:t>
      </w:r>
      <w:r w:rsidRPr="005E770B">
        <w:rPr>
          <w:rFonts w:ascii="Times New Roman" w:hAnsi="Times New Roman" w:cs="Times New Roman"/>
          <w:b/>
          <w:bCs/>
          <w:sz w:val="16"/>
          <w:szCs w:val="16"/>
        </w:rPr>
        <w:t>Golden Bull of 1356</w:t>
      </w:r>
      <w:r w:rsidRPr="005E770B">
        <w:rPr>
          <w:rFonts w:ascii="Times New Roman" w:hAnsi="Times New Roman" w:cs="Times New Roman"/>
          <w:sz w:val="16"/>
          <w:szCs w:val="16"/>
        </w:rPr>
        <w:t xml:space="preserve">, was a decree issued by the </w:t>
      </w:r>
      <w:r w:rsidRPr="005E770B">
        <w:rPr>
          <w:rFonts w:ascii="Times New Roman" w:hAnsi="Times New Roman" w:cs="Times New Roman"/>
          <w:i/>
          <w:iCs/>
          <w:sz w:val="16"/>
          <w:szCs w:val="16"/>
        </w:rPr>
        <w:t>Imperial Diet</w:t>
      </w:r>
      <w:r w:rsidRPr="005E770B">
        <w:rPr>
          <w:rFonts w:ascii="Times New Roman" w:hAnsi="Times New Roman" w:cs="Times New Roman"/>
          <w:sz w:val="16"/>
          <w:szCs w:val="16"/>
        </w:rPr>
        <w:t xml:space="preserve">, The Holy Roman Empire at Nuremberg and Metz via the Diet of Metz, 1356/57 that was headed by the Emperor Charles IV, also known as </w:t>
      </w:r>
      <w:r w:rsidRPr="005E770B">
        <w:rPr>
          <w:rFonts w:ascii="Times New Roman" w:hAnsi="Times New Roman" w:cs="Times New Roman"/>
          <w:b/>
          <w:bCs/>
          <w:sz w:val="16"/>
          <w:szCs w:val="16"/>
        </w:rPr>
        <w:t xml:space="preserve">Charles of Luxembourg, </w:t>
      </w:r>
      <w:r w:rsidRPr="005E770B">
        <w:rPr>
          <w:rFonts w:ascii="Times New Roman" w:hAnsi="Times New Roman" w:cs="Times New Roman"/>
          <w:sz w:val="16"/>
          <w:szCs w:val="16"/>
        </w:rPr>
        <w:t xml:space="preserve">which established, for a period of more than four hundred years, important aspects of the constitutional structure of the Holy Roman Empire. It was named the </w:t>
      </w:r>
      <w:r w:rsidRPr="005E770B">
        <w:rPr>
          <w:rFonts w:ascii="Times New Roman" w:hAnsi="Times New Roman" w:cs="Times New Roman"/>
          <w:i/>
          <w:iCs/>
          <w:sz w:val="16"/>
          <w:szCs w:val="16"/>
        </w:rPr>
        <w:t>Golden Bull</w:t>
      </w:r>
      <w:r w:rsidRPr="005E770B">
        <w:rPr>
          <w:rFonts w:ascii="Times New Roman" w:hAnsi="Times New Roman" w:cs="Times New Roman"/>
          <w:sz w:val="16"/>
          <w:szCs w:val="16"/>
        </w:rPr>
        <w:t xml:space="preserve"> for the golden seal it carried. the deliberative body of the Holy Roman Empire.</w:t>
      </w:r>
    </w:p>
    <w:p w14:paraId="66B51A80"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4CC67B63"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b/>
          <w:bCs/>
          <w:sz w:val="16"/>
          <w:szCs w:val="16"/>
        </w:rPr>
        <w:t>The Imperial Diet was the deliberative body of the Holy Roman Empire</w:t>
      </w:r>
      <w:r w:rsidRPr="005E770B">
        <w:rPr>
          <w:rFonts w:ascii="Times New Roman" w:hAnsi="Times New Roman" w:cs="Times New Roman"/>
          <w:sz w:val="16"/>
          <w:szCs w:val="16"/>
        </w:rPr>
        <w:t xml:space="preserve">. It was not a legislative body in </w:t>
      </w:r>
      <w:proofErr w:type="gramStart"/>
      <w:r w:rsidRPr="005E770B">
        <w:rPr>
          <w:rFonts w:ascii="Times New Roman" w:hAnsi="Times New Roman" w:cs="Times New Roman"/>
          <w:sz w:val="16"/>
          <w:szCs w:val="16"/>
        </w:rPr>
        <w:t>the</w:t>
      </w:r>
      <w:proofErr w:type="gramEnd"/>
      <w:r w:rsidRPr="005E770B">
        <w:rPr>
          <w:rFonts w:ascii="Times New Roman" w:hAnsi="Times New Roman" w:cs="Times New Roman"/>
          <w:sz w:val="16"/>
          <w:szCs w:val="16"/>
        </w:rPr>
        <w:t xml:space="preserve"> contemporary sense; its members envisioned it more like a central forum where it was more important to negotiate than to decide. Its members were the </w:t>
      </w:r>
      <w:r w:rsidRPr="005E770B">
        <w:rPr>
          <w:rFonts w:ascii="Times New Roman" w:hAnsi="Times New Roman" w:cs="Times New Roman"/>
          <w:b/>
          <w:bCs/>
          <w:i/>
          <w:iCs/>
          <w:sz w:val="16"/>
          <w:szCs w:val="16"/>
        </w:rPr>
        <w:t>Imperial Estates</w:t>
      </w:r>
      <w:r w:rsidRPr="005E770B">
        <w:rPr>
          <w:rFonts w:ascii="Times New Roman" w:hAnsi="Times New Roman" w:cs="Times New Roman"/>
          <w:sz w:val="16"/>
          <w:szCs w:val="16"/>
        </w:rPr>
        <w:t xml:space="preserve">, that were divided into three colleges. The diet or assembly as a permanent, regularized institution evolved from the </w:t>
      </w:r>
      <w:proofErr w:type="spellStart"/>
      <w:r w:rsidRPr="005E770B">
        <w:rPr>
          <w:rFonts w:ascii="Times New Roman" w:hAnsi="Times New Roman" w:cs="Times New Roman"/>
          <w:i/>
          <w:iCs/>
          <w:sz w:val="16"/>
          <w:szCs w:val="16"/>
        </w:rPr>
        <w:t>Hoftage</w:t>
      </w:r>
      <w:proofErr w:type="spellEnd"/>
      <w:r w:rsidRPr="005E770B">
        <w:rPr>
          <w:rFonts w:ascii="Times New Roman" w:hAnsi="Times New Roman" w:cs="Times New Roman"/>
          <w:sz w:val="16"/>
          <w:szCs w:val="16"/>
        </w:rPr>
        <w:t xml:space="preserve"> or court assemblies of the Middle Ages. From 1663 until the end of the empire in 1806, it was in permanent session as the Perpetual Diel of Regensburg.</w:t>
      </w:r>
    </w:p>
    <w:p w14:paraId="75786B77"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2"/>
          <w:szCs w:val="2"/>
        </w:rPr>
      </w:pPr>
    </w:p>
    <w:p w14:paraId="27BFA0A7" w14:textId="77777777" w:rsidR="00FA66A2" w:rsidRPr="005E770B" w:rsidRDefault="00FA66A2" w:rsidP="00FA66A2">
      <w:pPr>
        <w:pStyle w:val="ListParagraph"/>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An </w:t>
      </w:r>
      <w:r w:rsidRPr="005E770B">
        <w:rPr>
          <w:rFonts w:ascii="Times New Roman" w:hAnsi="Times New Roman" w:cs="Times New Roman"/>
          <w:b/>
          <w:bCs/>
          <w:sz w:val="16"/>
          <w:szCs w:val="16"/>
        </w:rPr>
        <w:t>Imperial Estate</w:t>
      </w:r>
      <w:r w:rsidRPr="005E770B">
        <w:rPr>
          <w:rFonts w:ascii="Times New Roman" w:hAnsi="Times New Roman" w:cs="Times New Roman"/>
          <w:sz w:val="16"/>
          <w:szCs w:val="16"/>
        </w:rPr>
        <w:t xml:space="preserve"> in Latin: </w:t>
      </w:r>
      <w:r w:rsidRPr="005E770B">
        <w:rPr>
          <w:rFonts w:ascii="Times New Roman" w:hAnsi="Times New Roman" w:cs="Times New Roman"/>
          <w:i/>
          <w:iCs/>
          <w:sz w:val="16"/>
          <w:szCs w:val="16"/>
          <w:lang w:val="la-Latn"/>
        </w:rPr>
        <w:t>Status Imperii</w:t>
      </w:r>
      <w:r w:rsidRPr="005E770B">
        <w:rPr>
          <w:rFonts w:ascii="Times New Roman" w:hAnsi="Times New Roman" w:cs="Times New Roman"/>
          <w:sz w:val="16"/>
          <w:szCs w:val="16"/>
        </w:rPr>
        <w:t xml:space="preserve">; German: </w:t>
      </w:r>
      <w:r w:rsidRPr="005E770B">
        <w:rPr>
          <w:rFonts w:ascii="Times New Roman" w:hAnsi="Times New Roman" w:cs="Times New Roman"/>
          <w:i/>
          <w:iCs/>
          <w:sz w:val="16"/>
          <w:szCs w:val="16"/>
          <w:lang w:val="de-DE"/>
        </w:rPr>
        <w:t>Reichsstand</w:t>
      </w:r>
      <w:r w:rsidRPr="005E770B">
        <w:rPr>
          <w:rFonts w:ascii="Times New Roman" w:hAnsi="Times New Roman" w:cs="Times New Roman"/>
          <w:sz w:val="16"/>
          <w:szCs w:val="16"/>
        </w:rPr>
        <w:t xml:space="preserve">, plural: </w:t>
      </w:r>
      <w:r w:rsidRPr="005E770B">
        <w:rPr>
          <w:rFonts w:ascii="Times New Roman" w:hAnsi="Times New Roman" w:cs="Times New Roman"/>
          <w:i/>
          <w:iCs/>
          <w:sz w:val="16"/>
          <w:szCs w:val="16"/>
          <w:lang w:val="de-DE"/>
        </w:rPr>
        <w:t>Reichsstände</w:t>
      </w:r>
      <w:r w:rsidRPr="005E770B">
        <w:rPr>
          <w:rFonts w:ascii="Times New Roman" w:hAnsi="Times New Roman" w:cs="Times New Roman"/>
          <w:sz w:val="16"/>
          <w:szCs w:val="16"/>
        </w:rPr>
        <w:t>, was an entity or an individual of the Holy Roman Empire with representation and the right to vote in the Imperial Diet (</w:t>
      </w:r>
      <w:r w:rsidRPr="005E770B">
        <w:rPr>
          <w:rFonts w:ascii="Times New Roman" w:hAnsi="Times New Roman" w:cs="Times New Roman"/>
          <w:i/>
          <w:iCs/>
          <w:sz w:val="16"/>
          <w:szCs w:val="16"/>
          <w:lang w:val="de-DE"/>
        </w:rPr>
        <w:t>Reichstag</w:t>
      </w:r>
      <w:r w:rsidRPr="005E770B">
        <w:rPr>
          <w:rFonts w:ascii="Times New Roman" w:hAnsi="Times New Roman" w:cs="Times New Roman"/>
          <w:sz w:val="16"/>
          <w:szCs w:val="16"/>
        </w:rPr>
        <w:t>). Rulers of these Estates were able to exercise significant rights and privileges and were "immediate", meaning the only authority above them was that of the Holy Roman Emperor. They were thus able to rule their territories with a considerable degree of autonomy.</w:t>
      </w:r>
    </w:p>
    <w:p w14:paraId="7D82FA36" w14:textId="77777777" w:rsidR="00FA66A2" w:rsidRPr="005E770B" w:rsidRDefault="00FA66A2" w:rsidP="00FA66A2">
      <w:pPr>
        <w:pStyle w:val="ListParagraph"/>
        <w:autoSpaceDE w:val="0"/>
        <w:autoSpaceDN w:val="0"/>
        <w:adjustRightInd w:val="0"/>
        <w:spacing w:after="0"/>
        <w:ind w:left="1075"/>
        <w:rPr>
          <w:rFonts w:ascii="Times New Roman" w:hAnsi="Times New Roman" w:cs="Times New Roman"/>
          <w:sz w:val="8"/>
          <w:szCs w:val="8"/>
        </w:rPr>
      </w:pPr>
    </w:p>
    <w:p w14:paraId="24C5D7C4"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The system of imperial states replaced the more regular division of Germany into </w:t>
      </w:r>
      <w:r w:rsidRPr="005E770B">
        <w:rPr>
          <w:rFonts w:ascii="Times New Roman" w:hAnsi="Times New Roman" w:cs="Times New Roman"/>
          <w:b/>
          <w:bCs/>
          <w:sz w:val="16"/>
          <w:szCs w:val="16"/>
        </w:rPr>
        <w:t>stem duchies</w:t>
      </w:r>
      <w:r w:rsidRPr="005E770B">
        <w:rPr>
          <w:rFonts w:ascii="Times New Roman" w:hAnsi="Times New Roman" w:cs="Times New Roman"/>
          <w:sz w:val="16"/>
          <w:szCs w:val="16"/>
        </w:rPr>
        <w:t xml:space="preserve"> in the early medieval period. A </w:t>
      </w:r>
      <w:r w:rsidRPr="005E770B">
        <w:rPr>
          <w:rFonts w:ascii="Times New Roman" w:hAnsi="Times New Roman" w:cs="Times New Roman"/>
          <w:b/>
          <w:bCs/>
          <w:color w:val="C00000"/>
          <w:sz w:val="16"/>
          <w:szCs w:val="16"/>
        </w:rPr>
        <w:t>stem duchy</w:t>
      </w:r>
      <w:r w:rsidRPr="005E770B">
        <w:rPr>
          <w:rFonts w:ascii="Times New Roman" w:hAnsi="Times New Roman" w:cs="Times New Roman"/>
          <w:color w:val="C00000"/>
          <w:sz w:val="16"/>
          <w:szCs w:val="16"/>
        </w:rPr>
        <w:t xml:space="preserve"> </w:t>
      </w:r>
      <w:r w:rsidRPr="005E770B">
        <w:rPr>
          <w:rFonts w:ascii="Times New Roman" w:hAnsi="Times New Roman" w:cs="Times New Roman"/>
          <w:sz w:val="16"/>
          <w:szCs w:val="16"/>
        </w:rPr>
        <w:t xml:space="preserve">in German: </w:t>
      </w:r>
      <w:r w:rsidRPr="005E770B">
        <w:rPr>
          <w:rFonts w:ascii="Times New Roman" w:hAnsi="Times New Roman" w:cs="Times New Roman"/>
          <w:i/>
          <w:iCs/>
          <w:sz w:val="16"/>
          <w:szCs w:val="16"/>
          <w:lang w:val="de-DE"/>
        </w:rPr>
        <w:t>Stammesherzogtum</w:t>
      </w:r>
      <w:r w:rsidRPr="005E770B">
        <w:rPr>
          <w:rFonts w:ascii="Times New Roman" w:hAnsi="Times New Roman" w:cs="Times New Roman"/>
          <w:sz w:val="16"/>
          <w:szCs w:val="16"/>
        </w:rPr>
        <w:t xml:space="preserve">, from </w:t>
      </w:r>
      <w:r w:rsidRPr="005E770B">
        <w:rPr>
          <w:rFonts w:ascii="Times New Roman" w:hAnsi="Times New Roman" w:cs="Times New Roman"/>
          <w:i/>
          <w:iCs/>
          <w:sz w:val="16"/>
          <w:szCs w:val="16"/>
        </w:rPr>
        <w:t>Stamm</w:t>
      </w:r>
      <w:r w:rsidRPr="005E770B">
        <w:rPr>
          <w:rFonts w:ascii="Times New Roman" w:hAnsi="Times New Roman" w:cs="Times New Roman"/>
          <w:sz w:val="16"/>
          <w:szCs w:val="16"/>
        </w:rPr>
        <w:t xml:space="preserve">, meaning </w:t>
      </w:r>
      <w:r w:rsidRPr="005E770B">
        <w:rPr>
          <w:rFonts w:ascii="Times New Roman" w:hAnsi="Times New Roman" w:cs="Times New Roman"/>
          <w:b/>
          <w:bCs/>
          <w:color w:val="C00000"/>
          <w:sz w:val="16"/>
          <w:szCs w:val="16"/>
        </w:rPr>
        <w:t>"tribe"</w:t>
      </w:r>
      <w:r w:rsidRPr="005E770B">
        <w:rPr>
          <w:rFonts w:ascii="Times New Roman" w:hAnsi="Times New Roman" w:cs="Times New Roman"/>
          <w:sz w:val="16"/>
          <w:szCs w:val="16"/>
        </w:rPr>
        <w:t xml:space="preserve">, in reference to the Franks, Saxons, </w:t>
      </w:r>
      <w:r w:rsidRPr="005E770B">
        <w:rPr>
          <w:rFonts w:ascii="Times New Roman" w:hAnsi="Times New Roman" w:cs="Times New Roman"/>
          <w:b/>
          <w:bCs/>
          <w:sz w:val="16"/>
          <w:szCs w:val="16"/>
        </w:rPr>
        <w:t>Bavarians</w:t>
      </w:r>
      <w:r w:rsidRPr="005E770B">
        <w:rPr>
          <w:rFonts w:ascii="Times New Roman" w:hAnsi="Times New Roman" w:cs="Times New Roman"/>
          <w:sz w:val="16"/>
          <w:szCs w:val="16"/>
        </w:rPr>
        <w:t xml:space="preserve"> and Swabians, was a constituent or representative duchy or territory of the Kingdom of Germany at the time of the extinction of the Carolingian dynasty with the death of Louis the Child in </w:t>
      </w:r>
      <w:r w:rsidRPr="005E770B">
        <w:rPr>
          <w:rFonts w:ascii="Times New Roman" w:hAnsi="Times New Roman" w:cs="Times New Roman"/>
          <w:b/>
          <w:bCs/>
          <w:color w:val="C00000"/>
          <w:sz w:val="16"/>
          <w:szCs w:val="16"/>
        </w:rPr>
        <w:t>911</w:t>
      </w:r>
      <w:r w:rsidRPr="005E770B">
        <w:rPr>
          <w:rFonts w:ascii="Times New Roman" w:hAnsi="Times New Roman" w:cs="Times New Roman"/>
          <w:sz w:val="16"/>
          <w:szCs w:val="16"/>
        </w:rPr>
        <w:t xml:space="preserve">, and through the transitional period leading to the formation of the Ottonian Empire. The medieval </w:t>
      </w:r>
      <w:r w:rsidRPr="005E770B">
        <w:rPr>
          <w:rFonts w:ascii="Times New Roman" w:hAnsi="Times New Roman" w:cs="Times New Roman"/>
          <w:b/>
          <w:bCs/>
          <w:sz w:val="16"/>
          <w:szCs w:val="16"/>
        </w:rPr>
        <w:t>German stem duchies</w:t>
      </w:r>
      <w:r w:rsidRPr="005E770B">
        <w:rPr>
          <w:rFonts w:ascii="Times New Roman" w:hAnsi="Times New Roman" w:cs="Times New Roman"/>
          <w:sz w:val="16"/>
          <w:szCs w:val="16"/>
        </w:rPr>
        <w:t xml:space="preserve"> in German: </w:t>
      </w:r>
      <w:r w:rsidRPr="005E770B">
        <w:rPr>
          <w:rFonts w:ascii="Times New Roman" w:hAnsi="Times New Roman" w:cs="Times New Roman"/>
          <w:i/>
          <w:iCs/>
          <w:sz w:val="16"/>
          <w:szCs w:val="16"/>
          <w:lang w:val="de-DE"/>
        </w:rPr>
        <w:t>Stammesherzogtum</w:t>
      </w:r>
      <w:r w:rsidRPr="005E770B">
        <w:rPr>
          <w:rFonts w:ascii="Times New Roman" w:hAnsi="Times New Roman" w:cs="Times New Roman"/>
          <w:sz w:val="16"/>
          <w:szCs w:val="16"/>
        </w:rPr>
        <w:t xml:space="preserve">, literally "tribal duchy," the official title of its ruler being </w:t>
      </w:r>
      <w:r w:rsidRPr="005E770B">
        <w:rPr>
          <w:rFonts w:ascii="Times New Roman" w:hAnsi="Times New Roman" w:cs="Times New Roman"/>
          <w:i/>
          <w:iCs/>
          <w:sz w:val="16"/>
          <w:szCs w:val="16"/>
        </w:rPr>
        <w:t>Herzog</w:t>
      </w:r>
      <w:r w:rsidRPr="005E770B">
        <w:rPr>
          <w:rFonts w:ascii="Times New Roman" w:hAnsi="Times New Roman" w:cs="Times New Roman"/>
          <w:sz w:val="16"/>
          <w:szCs w:val="16"/>
        </w:rPr>
        <w:t xml:space="preserve"> or "duke" were associated with the Frankish Kingdom and corresponded with the areas of settlement of the major </w:t>
      </w:r>
      <w:r w:rsidRPr="005E770B">
        <w:rPr>
          <w:rFonts w:ascii="Times New Roman" w:hAnsi="Times New Roman" w:cs="Times New Roman"/>
          <w:b/>
          <w:bCs/>
          <w:sz w:val="16"/>
          <w:szCs w:val="16"/>
        </w:rPr>
        <w:t>Germanic tribes</w:t>
      </w:r>
      <w:r w:rsidRPr="005E770B">
        <w:rPr>
          <w:rFonts w:ascii="Times New Roman" w:hAnsi="Times New Roman" w:cs="Times New Roman"/>
          <w:sz w:val="16"/>
          <w:szCs w:val="16"/>
        </w:rPr>
        <w:t xml:space="preserve">. They formed the nuclei of the major feudal states that comprised the early era of the Holy Roman Empire of the German nation circa 961–1806; in German: </w:t>
      </w:r>
      <w:proofErr w:type="spellStart"/>
      <w:r w:rsidRPr="005E770B">
        <w:rPr>
          <w:rFonts w:ascii="Times New Roman" w:hAnsi="Times New Roman" w:cs="Times New Roman"/>
          <w:i/>
          <w:iCs/>
          <w:sz w:val="16"/>
          <w:szCs w:val="16"/>
        </w:rPr>
        <w:t>Heiliges</w:t>
      </w:r>
      <w:proofErr w:type="spellEnd"/>
      <w:r w:rsidRPr="005E770B">
        <w:rPr>
          <w:rFonts w:ascii="Times New Roman" w:hAnsi="Times New Roman" w:cs="Times New Roman"/>
          <w:i/>
          <w:iCs/>
          <w:sz w:val="16"/>
          <w:szCs w:val="16"/>
        </w:rPr>
        <w:t xml:space="preserve"> </w:t>
      </w:r>
      <w:proofErr w:type="spellStart"/>
      <w:r w:rsidRPr="005E770B">
        <w:rPr>
          <w:rFonts w:ascii="Times New Roman" w:hAnsi="Times New Roman" w:cs="Times New Roman"/>
          <w:i/>
          <w:iCs/>
          <w:sz w:val="16"/>
          <w:szCs w:val="16"/>
        </w:rPr>
        <w:t>Römisches</w:t>
      </w:r>
      <w:proofErr w:type="spellEnd"/>
      <w:r w:rsidRPr="005E770B">
        <w:rPr>
          <w:rFonts w:ascii="Times New Roman" w:hAnsi="Times New Roman" w:cs="Times New Roman"/>
          <w:i/>
          <w:iCs/>
          <w:sz w:val="16"/>
          <w:szCs w:val="16"/>
        </w:rPr>
        <w:t xml:space="preserve"> Reich Deutscher Nation</w:t>
      </w:r>
      <w:r w:rsidRPr="005E770B">
        <w:rPr>
          <w:rFonts w:ascii="Times New Roman" w:hAnsi="Times New Roman" w:cs="Times New Roman"/>
          <w:sz w:val="16"/>
          <w:szCs w:val="16"/>
        </w:rPr>
        <w:t xml:space="preserve">. These were </w:t>
      </w:r>
      <w:r w:rsidRPr="005E770B">
        <w:rPr>
          <w:rFonts w:ascii="Times New Roman" w:hAnsi="Times New Roman" w:cs="Times New Roman"/>
          <w:i/>
          <w:iCs/>
          <w:sz w:val="16"/>
          <w:szCs w:val="16"/>
        </w:rPr>
        <w:t>Schwaben</w:t>
      </w:r>
      <w:r w:rsidRPr="005E770B">
        <w:rPr>
          <w:rFonts w:ascii="Times New Roman" w:hAnsi="Times New Roman" w:cs="Times New Roman"/>
          <w:sz w:val="16"/>
          <w:szCs w:val="16"/>
        </w:rPr>
        <w:t xml:space="preserve"> or Swabia, mainly the present-day German state of Baden-Württemberg, </w:t>
      </w:r>
      <w:r w:rsidRPr="005E770B">
        <w:rPr>
          <w:rFonts w:ascii="Times New Roman" w:hAnsi="Times New Roman" w:cs="Times New Roman"/>
          <w:i/>
          <w:iCs/>
          <w:sz w:val="16"/>
          <w:szCs w:val="16"/>
        </w:rPr>
        <w:t>Bayern</w:t>
      </w:r>
      <w:r w:rsidRPr="005E770B">
        <w:rPr>
          <w:rFonts w:ascii="Times New Roman" w:hAnsi="Times New Roman" w:cs="Times New Roman"/>
          <w:sz w:val="16"/>
          <w:szCs w:val="16"/>
        </w:rPr>
        <w:t xml:space="preserve"> (Bavaria), and </w:t>
      </w:r>
      <w:r w:rsidRPr="005E770B">
        <w:rPr>
          <w:rFonts w:ascii="Times New Roman" w:hAnsi="Times New Roman" w:cs="Times New Roman"/>
          <w:i/>
          <w:iCs/>
          <w:sz w:val="16"/>
          <w:szCs w:val="16"/>
        </w:rPr>
        <w:t>Sachsen</w:t>
      </w:r>
      <w:r w:rsidRPr="005E770B">
        <w:rPr>
          <w:rFonts w:ascii="Times New Roman" w:hAnsi="Times New Roman" w:cs="Times New Roman"/>
          <w:sz w:val="16"/>
          <w:szCs w:val="16"/>
        </w:rPr>
        <w:t xml:space="preserve"> (Saxony) in pre-Carolingian times, to which </w:t>
      </w:r>
      <w:r w:rsidRPr="005E770B">
        <w:rPr>
          <w:rFonts w:ascii="Times New Roman" w:hAnsi="Times New Roman" w:cs="Times New Roman"/>
          <w:i/>
          <w:iCs/>
          <w:sz w:val="16"/>
          <w:szCs w:val="16"/>
        </w:rPr>
        <w:t>Franken</w:t>
      </w:r>
      <w:r w:rsidRPr="005E770B">
        <w:rPr>
          <w:rFonts w:ascii="Times New Roman" w:hAnsi="Times New Roman" w:cs="Times New Roman"/>
          <w:sz w:val="16"/>
          <w:szCs w:val="16"/>
        </w:rPr>
        <w:t xml:space="preserve"> (Franconia, at present the northern part of the German state of Bavaria) and </w:t>
      </w:r>
      <w:r w:rsidRPr="005E770B">
        <w:rPr>
          <w:rFonts w:ascii="Times New Roman" w:hAnsi="Times New Roman" w:cs="Times New Roman"/>
          <w:i/>
          <w:iCs/>
          <w:sz w:val="16"/>
          <w:szCs w:val="16"/>
        </w:rPr>
        <w:t>Lothringen</w:t>
      </w:r>
      <w:r w:rsidRPr="005E770B">
        <w:rPr>
          <w:rFonts w:ascii="Times New Roman" w:hAnsi="Times New Roman" w:cs="Times New Roman"/>
          <w:sz w:val="16"/>
          <w:szCs w:val="16"/>
        </w:rPr>
        <w:t xml:space="preserve"> / Lorraine, nowadays mostly part of France were added in post-Carolingian times. As mentioned above, such a duke was styled </w:t>
      </w:r>
      <w:r w:rsidRPr="005E770B">
        <w:rPr>
          <w:rFonts w:ascii="Times New Roman" w:hAnsi="Times New Roman" w:cs="Times New Roman"/>
          <w:i/>
          <w:iCs/>
          <w:sz w:val="16"/>
          <w:szCs w:val="16"/>
        </w:rPr>
        <w:t>Herzog</w:t>
      </w:r>
      <w:r w:rsidRPr="005E770B">
        <w:rPr>
          <w:rFonts w:ascii="Times New Roman" w:hAnsi="Times New Roman" w:cs="Times New Roman"/>
          <w:sz w:val="16"/>
          <w:szCs w:val="16"/>
        </w:rPr>
        <w:t xml:space="preserve"> literal meaning "the one who is leading [the troops".</w:t>
      </w:r>
    </w:p>
    <w:p w14:paraId="54F32E47" w14:textId="77777777" w:rsidR="00FA66A2" w:rsidRPr="005E770B" w:rsidRDefault="00FA66A2" w:rsidP="00FA66A2">
      <w:pPr>
        <w:autoSpaceDE w:val="0"/>
        <w:autoSpaceDN w:val="0"/>
        <w:adjustRightInd w:val="0"/>
        <w:spacing w:after="0"/>
        <w:rPr>
          <w:rFonts w:ascii="Times New Roman" w:hAnsi="Times New Roman" w:cs="Times New Roman"/>
          <w:sz w:val="8"/>
          <w:szCs w:val="8"/>
        </w:rPr>
      </w:pPr>
    </w:p>
    <w:p w14:paraId="10433CDA" w14:textId="77777777" w:rsidR="00FA66A2" w:rsidRPr="005E770B" w:rsidRDefault="00FA66A2" w:rsidP="00FA66A2">
      <w:pPr>
        <w:pStyle w:val="ListParagraph"/>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A </w:t>
      </w:r>
      <w:r w:rsidRPr="005E770B">
        <w:rPr>
          <w:rFonts w:ascii="Times New Roman" w:hAnsi="Times New Roman" w:cs="Times New Roman"/>
          <w:b/>
          <w:bCs/>
          <w:sz w:val="16"/>
          <w:szCs w:val="16"/>
        </w:rPr>
        <w:t>duchy</w:t>
      </w:r>
      <w:r w:rsidRPr="005E770B">
        <w:rPr>
          <w:rFonts w:ascii="Times New Roman" w:hAnsi="Times New Roman" w:cs="Times New Roman"/>
          <w:sz w:val="16"/>
          <w:szCs w:val="16"/>
        </w:rPr>
        <w:t xml:space="preserve">, also called a dukedom, is a </w:t>
      </w:r>
      <w:r w:rsidRPr="005E770B">
        <w:rPr>
          <w:rFonts w:ascii="Times New Roman" w:hAnsi="Times New Roman" w:cs="Times New Roman"/>
          <w:b/>
          <w:bCs/>
          <w:i/>
          <w:iCs/>
          <w:sz w:val="16"/>
          <w:szCs w:val="16"/>
        </w:rPr>
        <w:t>country</w:t>
      </w:r>
      <w:r w:rsidRPr="005E770B">
        <w:rPr>
          <w:rFonts w:ascii="Times New Roman" w:hAnsi="Times New Roman" w:cs="Times New Roman"/>
          <w:sz w:val="16"/>
          <w:szCs w:val="16"/>
        </w:rPr>
        <w:t xml:space="preserve">, territory, fief, or domain ruled by a duke or duchess. In Western European tradition, the title of duke ranked among the highest nobility, generally just below the monarch and above counts or earls. Historically, there was a significant distinction between sovereign dukes, who ruled independent states, and dukes who were simply noblemen within larger </w:t>
      </w:r>
      <w:r w:rsidRPr="005E770B">
        <w:rPr>
          <w:rFonts w:ascii="Times New Roman" w:hAnsi="Times New Roman" w:cs="Times New Roman"/>
          <w:sz w:val="16"/>
          <w:szCs w:val="16"/>
        </w:rPr>
        <w:lastRenderedPageBreak/>
        <w:t>kingdoms. Some duchies functioned as sovereign states in regions that only later became unified nation</w:t>
      </w:r>
      <w:r w:rsidRPr="005E770B">
        <w:rPr>
          <w:rFonts w:ascii="Times New Roman" w:hAnsi="Times New Roman" w:cs="Times New Roman"/>
          <w:sz w:val="16"/>
          <w:szCs w:val="16"/>
        </w:rPr>
        <w:noBreakHyphen/>
        <w:t>states, such as Germany (once the Holy Roman Empire, a federal empire) and Italy (later a unified kingdom). By contrast, other duchies were subordinate territories within kingdoms that had already consolidated, either partially or fully, during the medieval era: examples include France, Spain, Sicily, Naples, and the Papal States.</w:t>
      </w:r>
    </w:p>
    <w:p w14:paraId="7E822F9D" w14:textId="77777777" w:rsidR="00FA66A2" w:rsidRPr="005E770B" w:rsidRDefault="00FA66A2" w:rsidP="00FA66A2">
      <w:pPr>
        <w:pStyle w:val="ListParagraph"/>
        <w:autoSpaceDE w:val="0"/>
        <w:autoSpaceDN w:val="0"/>
        <w:adjustRightInd w:val="0"/>
        <w:spacing w:after="0"/>
        <w:rPr>
          <w:rFonts w:ascii="Times New Roman" w:hAnsi="Times New Roman" w:cs="Times New Roman"/>
          <w:sz w:val="8"/>
          <w:szCs w:val="8"/>
        </w:rPr>
      </w:pPr>
    </w:p>
    <w:p w14:paraId="6369919E"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A country is a political entity or its territory in the world. They function as sovereign states, unrecognized states, constituent countries, or dependent territories. A country may consist of multiple nations, a structure known as a multinational state. Countries are often distinguished as developing countries or developed countries. There is no universal agreement on the number of "countries" in the world. This ambiguity is a result of several countries not being recognized as sovereign states by the UN system, but are recognized by at least one UN member, known as "diplomatic recognition". These countries often have disputed territories and have only partial recognition. </w:t>
      </w:r>
      <w:proofErr w:type="gramStart"/>
      <w:r w:rsidRPr="005E770B">
        <w:rPr>
          <w:rFonts w:ascii="Times New Roman" w:hAnsi="Times New Roman" w:cs="Times New Roman"/>
          <w:sz w:val="16"/>
          <w:szCs w:val="16"/>
        </w:rPr>
        <w:t>A number of</w:t>
      </w:r>
      <w:proofErr w:type="gramEnd"/>
      <w:r w:rsidRPr="005E770B">
        <w:rPr>
          <w:rFonts w:ascii="Times New Roman" w:hAnsi="Times New Roman" w:cs="Times New Roman"/>
          <w:sz w:val="16"/>
          <w:szCs w:val="16"/>
        </w:rPr>
        <w:t xml:space="preserve"> entities without recognition are also commonly considered a country. </w:t>
      </w:r>
    </w:p>
    <w:p w14:paraId="640456B4" w14:textId="77777777" w:rsidR="00FA66A2" w:rsidRPr="005E770B" w:rsidRDefault="00FA66A2" w:rsidP="00FA66A2">
      <w:pPr>
        <w:autoSpaceDE w:val="0"/>
        <w:autoSpaceDN w:val="0"/>
        <w:adjustRightInd w:val="0"/>
        <w:spacing w:after="0"/>
        <w:rPr>
          <w:rFonts w:ascii="Times New Roman" w:hAnsi="Times New Roman" w:cs="Times New Roman"/>
          <w:sz w:val="8"/>
          <w:szCs w:val="8"/>
        </w:rPr>
      </w:pPr>
    </w:p>
    <w:p w14:paraId="157F1E58" w14:textId="77777777" w:rsidR="00FA66A2" w:rsidRPr="005E770B" w:rsidRDefault="00FA66A2" w:rsidP="00FA66A2">
      <w:pPr>
        <w:pStyle w:val="ListParagraph"/>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Areas other than a political entity may be referred to as a "country," such as the West Country in England, "big sky country", used in various contexts of the American West, "coal country", used to describe coal-mining regions, cottage country or simply "</w:t>
      </w:r>
      <w:r w:rsidRPr="005E770B">
        <w:rPr>
          <w:rFonts w:ascii="Times New Roman" w:hAnsi="Times New Roman" w:cs="Times New Roman"/>
          <w:b/>
          <w:bCs/>
          <w:i/>
          <w:iCs/>
          <w:sz w:val="16"/>
          <w:szCs w:val="16"/>
        </w:rPr>
        <w:t xml:space="preserve">the country", </w:t>
      </w:r>
      <w:r w:rsidRPr="005E770B">
        <w:rPr>
          <w:rFonts w:ascii="Times New Roman" w:hAnsi="Times New Roman" w:cs="Times New Roman"/>
          <w:sz w:val="16"/>
          <w:szCs w:val="16"/>
        </w:rPr>
        <w:t xml:space="preserve">used to describe a rural area. When referring to a specific </w:t>
      </w:r>
      <w:proofErr w:type="gramStart"/>
      <w:r w:rsidRPr="005E770B">
        <w:rPr>
          <w:rFonts w:ascii="Times New Roman" w:hAnsi="Times New Roman" w:cs="Times New Roman"/>
          <w:sz w:val="16"/>
          <w:szCs w:val="16"/>
        </w:rPr>
        <w:t>polity</w:t>
      </w:r>
      <w:proofErr w:type="gramEnd"/>
      <w:r w:rsidRPr="005E770B">
        <w:rPr>
          <w:rFonts w:ascii="Times New Roman" w:hAnsi="Times New Roman" w:cs="Times New Roman"/>
          <w:sz w:val="16"/>
          <w:szCs w:val="16"/>
        </w:rPr>
        <w:t xml:space="preserve">, the term "country" can refer to a sovereign state, state with limited recognition, constituent country and dependent territory. A sovereign state is a political entity that has supreme legitimate authority over a part of the world. There is no universal agreement on the number of "countries" in the world since several states have disputed sovereignty status, and </w:t>
      </w:r>
      <w:proofErr w:type="gramStart"/>
      <w:r w:rsidRPr="005E770B">
        <w:rPr>
          <w:rFonts w:ascii="Times New Roman" w:hAnsi="Times New Roman" w:cs="Times New Roman"/>
          <w:sz w:val="16"/>
          <w:szCs w:val="16"/>
        </w:rPr>
        <w:t>a number of</w:t>
      </w:r>
      <w:proofErr w:type="gramEnd"/>
      <w:r w:rsidRPr="005E770B">
        <w:rPr>
          <w:rFonts w:ascii="Times New Roman" w:hAnsi="Times New Roman" w:cs="Times New Roman"/>
          <w:sz w:val="16"/>
          <w:szCs w:val="16"/>
        </w:rPr>
        <w:t xml:space="preserve"> non-sovereign entities are commonly called countries.</w:t>
      </w:r>
    </w:p>
    <w:p w14:paraId="48BBDF79" w14:textId="77777777" w:rsidR="00FA66A2" w:rsidRPr="005E770B" w:rsidRDefault="00FA66A2" w:rsidP="00FA66A2">
      <w:pPr>
        <w:autoSpaceDE w:val="0"/>
        <w:autoSpaceDN w:val="0"/>
        <w:adjustRightInd w:val="0"/>
        <w:spacing w:after="0"/>
        <w:rPr>
          <w:rFonts w:ascii="Times New Roman" w:hAnsi="Times New Roman" w:cs="Times New Roman"/>
          <w:sz w:val="8"/>
          <w:szCs w:val="8"/>
        </w:rPr>
      </w:pPr>
    </w:p>
    <w:p w14:paraId="6A790610"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The Carolingians had dissolved the original tribal duchies in the 8th century, but as the Carolingian Empire declined during the 9th century, the old tribal areas assumed new identities. The five stem duchies, sometimes also called "younger stem duchies" in contrast to the pre-Carolingian tribal duchies were, Bavaria, Franconia, Lotharingia, Saxony and Swabia / </w:t>
      </w:r>
      <w:proofErr w:type="spellStart"/>
      <w:r w:rsidRPr="005E770B">
        <w:rPr>
          <w:rFonts w:ascii="Times New Roman" w:hAnsi="Times New Roman" w:cs="Times New Roman"/>
          <w:sz w:val="16"/>
          <w:szCs w:val="16"/>
        </w:rPr>
        <w:t>Alamannia</w:t>
      </w:r>
      <w:proofErr w:type="spellEnd"/>
      <w:r w:rsidRPr="005E770B">
        <w:rPr>
          <w:rFonts w:ascii="Times New Roman" w:hAnsi="Times New Roman" w:cs="Times New Roman"/>
          <w:sz w:val="16"/>
          <w:szCs w:val="16"/>
        </w:rPr>
        <w:t xml:space="preserve">, The Salian emperors reigned from 1027–1125 and retained the stem duchies as the major divisions of Germany, but already during the reign of Hohenstaufen emperors who reigned 1138–1254, until the process of their dissolution was formalized, leading to divisions of traditional stem duchies into smaller and more numerous territorial duchies. </w:t>
      </w:r>
    </w:p>
    <w:p w14:paraId="3FEA7D3D" w14:textId="77777777" w:rsidR="00FA66A2" w:rsidRPr="005E770B" w:rsidRDefault="00FA66A2" w:rsidP="00FA66A2">
      <w:pPr>
        <w:autoSpaceDE w:val="0"/>
        <w:autoSpaceDN w:val="0"/>
        <w:adjustRightInd w:val="0"/>
        <w:spacing w:after="0"/>
        <w:rPr>
          <w:rFonts w:ascii="Times New Roman" w:hAnsi="Times New Roman" w:cs="Times New Roman"/>
          <w:sz w:val="8"/>
          <w:szCs w:val="8"/>
        </w:rPr>
      </w:pPr>
    </w:p>
    <w:p w14:paraId="21D35671" w14:textId="77777777" w:rsidR="00FA66A2" w:rsidRPr="005E770B" w:rsidRDefault="00FA66A2" w:rsidP="00FA66A2">
      <w:pPr>
        <w:pStyle w:val="ListParagraph"/>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The term </w:t>
      </w:r>
      <w:proofErr w:type="spellStart"/>
      <w:r w:rsidRPr="005E770B">
        <w:rPr>
          <w:rFonts w:ascii="Times New Roman" w:hAnsi="Times New Roman" w:cs="Times New Roman"/>
          <w:i/>
          <w:iCs/>
          <w:sz w:val="16"/>
          <w:szCs w:val="16"/>
        </w:rPr>
        <w:t>Stammesherzogtum</w:t>
      </w:r>
      <w:proofErr w:type="spellEnd"/>
      <w:r w:rsidRPr="005E770B">
        <w:rPr>
          <w:rFonts w:ascii="Times New Roman" w:hAnsi="Times New Roman" w:cs="Times New Roman"/>
          <w:sz w:val="16"/>
          <w:szCs w:val="16"/>
        </w:rPr>
        <w:t xml:space="preserve"> as used in German historiography dates to the mid-19th century, and from the beginning was closely related to the question of </w:t>
      </w:r>
      <w:r w:rsidRPr="005E770B">
        <w:rPr>
          <w:rFonts w:ascii="Times New Roman" w:hAnsi="Times New Roman" w:cs="Times New Roman"/>
          <w:b/>
          <w:bCs/>
          <w:sz w:val="16"/>
          <w:szCs w:val="16"/>
        </w:rPr>
        <w:t>national unification</w:t>
      </w:r>
      <w:r w:rsidRPr="005E770B">
        <w:rPr>
          <w:rFonts w:ascii="Times New Roman" w:hAnsi="Times New Roman" w:cs="Times New Roman"/>
          <w:sz w:val="16"/>
          <w:szCs w:val="16"/>
        </w:rPr>
        <w:t xml:space="preserve">. The term's applicability, and the nature of the stem duchies in medieval Germany, </w:t>
      </w:r>
      <w:proofErr w:type="gramStart"/>
      <w:r w:rsidRPr="005E770B">
        <w:rPr>
          <w:rFonts w:ascii="Times New Roman" w:hAnsi="Times New Roman" w:cs="Times New Roman"/>
          <w:sz w:val="16"/>
          <w:szCs w:val="16"/>
        </w:rPr>
        <w:t>consequently</w:t>
      </w:r>
      <w:proofErr w:type="gramEnd"/>
      <w:r w:rsidRPr="005E770B">
        <w:rPr>
          <w:rFonts w:ascii="Times New Roman" w:hAnsi="Times New Roman" w:cs="Times New Roman"/>
          <w:sz w:val="16"/>
          <w:szCs w:val="16"/>
        </w:rPr>
        <w:t xml:space="preserve"> have a long history of controversy.</w:t>
      </w:r>
    </w:p>
    <w:p w14:paraId="43A7F941" w14:textId="77777777" w:rsidR="00FA66A2" w:rsidRPr="005E770B" w:rsidRDefault="00FA66A2" w:rsidP="00FA66A2">
      <w:pPr>
        <w:autoSpaceDE w:val="0"/>
        <w:autoSpaceDN w:val="0"/>
        <w:adjustRightInd w:val="0"/>
        <w:spacing w:after="0"/>
        <w:rPr>
          <w:rFonts w:ascii="Times New Roman" w:hAnsi="Times New Roman" w:cs="Times New Roman"/>
          <w:sz w:val="8"/>
          <w:szCs w:val="8"/>
        </w:rPr>
      </w:pPr>
    </w:p>
    <w:p w14:paraId="1E12020A" w14:textId="77777777" w:rsidR="00FA66A2" w:rsidRDefault="00FA66A2" w:rsidP="00FA66A2">
      <w:pPr>
        <w:autoSpaceDE w:val="0"/>
        <w:autoSpaceDN w:val="0"/>
        <w:adjustRightInd w:val="0"/>
        <w:spacing w:after="0"/>
        <w:rPr>
          <w:rFonts w:ascii="Times New Roman" w:hAnsi="Times New Roman" w:cs="Times New Roman"/>
          <w:b/>
          <w:bCs/>
          <w:sz w:val="16"/>
          <w:szCs w:val="16"/>
        </w:rPr>
      </w:pPr>
      <w:r w:rsidRPr="005E770B">
        <w:rPr>
          <w:rFonts w:ascii="Times New Roman" w:hAnsi="Times New Roman" w:cs="Times New Roman"/>
          <w:sz w:val="16"/>
          <w:szCs w:val="16"/>
        </w:rPr>
        <w:t xml:space="preserve">The overly literal or etymologizing English translation "stem duchy" was coined in the early 20th century. While later authors tend to clarify the term by using the alternative translation "tribal", use of the term "stem duchies" has become conventional. The old Carolingian stem duchies were retained as the major divisions of Germany under the Salian dynasty, but they became increasingly obsolete during the early high medieval </w:t>
      </w:r>
      <w:hyperlink r:id="rId7" w:tooltip="Era" w:history="1">
        <w:r w:rsidRPr="005E770B">
          <w:rPr>
            <w:rStyle w:val="Hyperlink"/>
            <w:rFonts w:ascii="Times New Roman" w:hAnsi="Times New Roman" w:cs="Times New Roman"/>
            <w:sz w:val="16"/>
            <w:szCs w:val="16"/>
          </w:rPr>
          <w:t>period</w:t>
        </w:r>
      </w:hyperlink>
      <w:r w:rsidRPr="005E770B">
        <w:rPr>
          <w:rFonts w:ascii="Times New Roman" w:hAnsi="Times New Roman" w:cs="Times New Roman"/>
          <w:sz w:val="16"/>
          <w:szCs w:val="16"/>
        </w:rPr>
        <w:t xml:space="preserve"> under the Hohenstaufen, and they were finally abolished in 1180 by Frederick Barbarossa in favor of more numerous territorial divisions. From 1489, the Imperial Estates represented in the Diet were divided into three chambers, the college of prince-electors (</w:t>
      </w:r>
      <w:r w:rsidRPr="005E770B">
        <w:rPr>
          <w:rFonts w:ascii="Times New Roman" w:hAnsi="Times New Roman" w:cs="Times New Roman"/>
          <w:i/>
          <w:iCs/>
          <w:sz w:val="16"/>
          <w:szCs w:val="16"/>
          <w:lang w:val="de-DE"/>
        </w:rPr>
        <w:t>Kurfürstenkollegium/den Kurfürstenrat</w:t>
      </w:r>
      <w:r w:rsidRPr="005E770B">
        <w:rPr>
          <w:rFonts w:ascii="Times New Roman" w:hAnsi="Times New Roman" w:cs="Times New Roman"/>
          <w:sz w:val="16"/>
          <w:szCs w:val="16"/>
        </w:rPr>
        <w:t>), the college of imperial princes (</w:t>
      </w:r>
      <w:r w:rsidRPr="005E770B">
        <w:rPr>
          <w:rFonts w:ascii="Times New Roman" w:hAnsi="Times New Roman" w:cs="Times New Roman"/>
          <w:i/>
          <w:iCs/>
          <w:sz w:val="16"/>
          <w:szCs w:val="16"/>
          <w:lang w:val="de-DE"/>
        </w:rPr>
        <w:t>Reichsfürstenrat</w:t>
      </w:r>
      <w:r w:rsidRPr="005E770B">
        <w:rPr>
          <w:rFonts w:ascii="Times New Roman" w:hAnsi="Times New Roman" w:cs="Times New Roman"/>
          <w:sz w:val="16"/>
          <w:szCs w:val="16"/>
        </w:rPr>
        <w:t xml:space="preserve">) and the college of imperial cities. Counts and nobles were not directly represented in the Diet </w:t>
      </w:r>
      <w:proofErr w:type="gramStart"/>
      <w:r w:rsidRPr="005E770B">
        <w:rPr>
          <w:rFonts w:ascii="Times New Roman" w:hAnsi="Times New Roman" w:cs="Times New Roman"/>
          <w:sz w:val="16"/>
          <w:szCs w:val="16"/>
        </w:rPr>
        <w:t>in spite of</w:t>
      </w:r>
      <w:proofErr w:type="gramEnd"/>
      <w:r w:rsidRPr="005E770B">
        <w:rPr>
          <w:rFonts w:ascii="Times New Roman" w:hAnsi="Times New Roman" w:cs="Times New Roman"/>
          <w:sz w:val="16"/>
          <w:szCs w:val="16"/>
        </w:rPr>
        <w:t xml:space="preserve"> their immediate </w:t>
      </w:r>
      <w:proofErr w:type="gramStart"/>
      <w:r w:rsidRPr="005E770B">
        <w:rPr>
          <w:rFonts w:ascii="Times New Roman" w:hAnsi="Times New Roman" w:cs="Times New Roman"/>
          <w:sz w:val="16"/>
          <w:szCs w:val="16"/>
        </w:rPr>
        <w:t>status, but</w:t>
      </w:r>
      <w:proofErr w:type="gramEnd"/>
      <w:r w:rsidRPr="005E770B">
        <w:rPr>
          <w:rFonts w:ascii="Times New Roman" w:hAnsi="Times New Roman" w:cs="Times New Roman"/>
          <w:sz w:val="16"/>
          <w:szCs w:val="16"/>
        </w:rPr>
        <w:t xml:space="preserve"> were grouped into "benches" (</w:t>
      </w:r>
      <w:r w:rsidRPr="005E770B">
        <w:rPr>
          <w:rFonts w:ascii="Times New Roman" w:hAnsi="Times New Roman" w:cs="Times New Roman"/>
          <w:i/>
          <w:iCs/>
          <w:sz w:val="16"/>
          <w:szCs w:val="16"/>
          <w:lang w:val="de-DE"/>
        </w:rPr>
        <w:t>Grafenbänke</w:t>
      </w:r>
      <w:r w:rsidRPr="005E770B">
        <w:rPr>
          <w:rFonts w:ascii="Times New Roman" w:hAnsi="Times New Roman" w:cs="Times New Roman"/>
          <w:sz w:val="16"/>
          <w:szCs w:val="16"/>
        </w:rPr>
        <w:t xml:space="preserve">) with a single vote each. </w:t>
      </w:r>
      <w:r w:rsidRPr="009C11A9">
        <w:rPr>
          <w:rFonts w:ascii="Times New Roman" w:hAnsi="Times New Roman" w:cs="Times New Roman"/>
          <w:b/>
          <w:bCs/>
          <w:sz w:val="16"/>
          <w:szCs w:val="16"/>
        </w:rPr>
        <w:t>Imperial Knights</w:t>
      </w:r>
      <w:r w:rsidRPr="005E770B">
        <w:rPr>
          <w:rFonts w:ascii="Times New Roman" w:hAnsi="Times New Roman" w:cs="Times New Roman"/>
          <w:b/>
          <w:bCs/>
          <w:sz w:val="16"/>
          <w:szCs w:val="16"/>
        </w:rPr>
        <w:t xml:space="preserve"> </w:t>
      </w:r>
      <w:r w:rsidRPr="00EA7658">
        <w:rPr>
          <w:rFonts w:ascii="Times New Roman" w:hAnsi="Times New Roman" w:cs="Times New Roman"/>
          <w:sz w:val="16"/>
          <w:szCs w:val="16"/>
        </w:rPr>
        <w:t>and</w:t>
      </w:r>
      <w:r w:rsidRPr="005E770B">
        <w:rPr>
          <w:rFonts w:ascii="Times New Roman" w:hAnsi="Times New Roman" w:cs="Times New Roman"/>
          <w:b/>
          <w:bCs/>
          <w:sz w:val="16"/>
          <w:szCs w:val="16"/>
        </w:rPr>
        <w:t xml:space="preserve"> </w:t>
      </w:r>
      <w:r w:rsidRPr="00EA7658">
        <w:rPr>
          <w:rFonts w:ascii="Times New Roman" w:hAnsi="Times New Roman" w:cs="Times New Roman"/>
          <w:b/>
          <w:bCs/>
          <w:sz w:val="16"/>
          <w:szCs w:val="16"/>
        </w:rPr>
        <w:t>imperial villages</w:t>
      </w:r>
      <w:r w:rsidRPr="005E770B">
        <w:rPr>
          <w:rFonts w:ascii="Times New Roman" w:hAnsi="Times New Roman" w:cs="Times New Roman"/>
          <w:b/>
          <w:bCs/>
          <w:sz w:val="16"/>
          <w:szCs w:val="16"/>
        </w:rPr>
        <w:t xml:space="preserve"> </w:t>
      </w:r>
      <w:r w:rsidRPr="00EA7658">
        <w:rPr>
          <w:rFonts w:ascii="Times New Roman" w:hAnsi="Times New Roman" w:cs="Times New Roman"/>
          <w:sz w:val="16"/>
          <w:szCs w:val="16"/>
        </w:rPr>
        <w:t>had immediate status but were not represented in the Diet.</w:t>
      </w:r>
      <w:r>
        <w:rPr>
          <w:rFonts w:ascii="Times New Roman" w:hAnsi="Times New Roman" w:cs="Times New Roman"/>
          <w:b/>
          <w:bCs/>
          <w:sz w:val="16"/>
          <w:szCs w:val="16"/>
        </w:rPr>
        <w:t xml:space="preserve"> </w:t>
      </w:r>
    </w:p>
    <w:p w14:paraId="33E501CA" w14:textId="77777777" w:rsidR="00FA66A2" w:rsidRPr="009C11A9" w:rsidRDefault="00FA66A2" w:rsidP="00FA66A2">
      <w:pPr>
        <w:autoSpaceDE w:val="0"/>
        <w:autoSpaceDN w:val="0"/>
        <w:adjustRightInd w:val="0"/>
        <w:spacing w:after="0"/>
        <w:rPr>
          <w:rFonts w:ascii="Times New Roman" w:hAnsi="Times New Roman" w:cs="Times New Roman"/>
          <w:b/>
          <w:bCs/>
          <w:sz w:val="8"/>
          <w:szCs w:val="8"/>
        </w:rPr>
      </w:pPr>
    </w:p>
    <w:p w14:paraId="73827926"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b/>
          <w:bCs/>
          <w:sz w:val="16"/>
          <w:szCs w:val="16"/>
        </w:rPr>
        <w:t>The</w:t>
      </w:r>
      <w:r w:rsidRPr="005E770B">
        <w:rPr>
          <w:rFonts w:ascii="Times New Roman" w:hAnsi="Times New Roman" w:cs="Times New Roman"/>
          <w:sz w:val="16"/>
          <w:szCs w:val="16"/>
        </w:rPr>
        <w:t xml:space="preserve"> </w:t>
      </w:r>
      <w:r w:rsidRPr="005E770B">
        <w:rPr>
          <w:rFonts w:ascii="Times New Roman" w:hAnsi="Times New Roman" w:cs="Times New Roman"/>
          <w:b/>
          <w:bCs/>
          <w:sz w:val="16"/>
          <w:szCs w:val="16"/>
        </w:rPr>
        <w:t>Free Imperial Knights</w:t>
      </w:r>
      <w:r w:rsidRPr="005E770B">
        <w:rPr>
          <w:rFonts w:ascii="Times New Roman" w:hAnsi="Times New Roman" w:cs="Times New Roman"/>
          <w:sz w:val="16"/>
          <w:szCs w:val="16"/>
        </w:rPr>
        <w:t xml:space="preserve"> in German: </w:t>
      </w:r>
      <w:r w:rsidRPr="005E770B">
        <w:rPr>
          <w:rFonts w:ascii="Times New Roman" w:hAnsi="Times New Roman" w:cs="Times New Roman"/>
          <w:i/>
          <w:iCs/>
          <w:sz w:val="16"/>
          <w:szCs w:val="16"/>
          <w:lang w:val="de-DE"/>
        </w:rPr>
        <w:t>Reichsritter</w:t>
      </w:r>
      <w:r w:rsidRPr="005E770B">
        <w:rPr>
          <w:rFonts w:ascii="Times New Roman" w:hAnsi="Times New Roman" w:cs="Times New Roman"/>
          <w:sz w:val="16"/>
          <w:szCs w:val="16"/>
        </w:rPr>
        <w:t xml:space="preserve">, and in Latin: </w:t>
      </w:r>
      <w:r w:rsidRPr="005E770B">
        <w:rPr>
          <w:rFonts w:ascii="Times New Roman" w:hAnsi="Times New Roman" w:cs="Times New Roman"/>
          <w:i/>
          <w:iCs/>
          <w:sz w:val="16"/>
          <w:szCs w:val="16"/>
          <w:lang w:val="la-Latn"/>
        </w:rPr>
        <w:t>Eques imperii</w:t>
      </w:r>
      <w:r w:rsidRPr="005E770B">
        <w:rPr>
          <w:rFonts w:ascii="Times New Roman" w:hAnsi="Times New Roman" w:cs="Times New Roman"/>
          <w:sz w:val="16"/>
          <w:szCs w:val="16"/>
        </w:rPr>
        <w:t xml:space="preserve">, were free nobles of the Holy Roman Empire, whose direct overlord was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They were the remnants of the medieval free nobility (</w:t>
      </w:r>
      <w:proofErr w:type="spellStart"/>
      <w:r w:rsidRPr="005E770B">
        <w:rPr>
          <w:rFonts w:ascii="Times New Roman" w:hAnsi="Times New Roman" w:cs="Times New Roman"/>
          <w:i/>
          <w:iCs/>
          <w:sz w:val="16"/>
          <w:szCs w:val="16"/>
        </w:rPr>
        <w:t>edelfrei</w:t>
      </w:r>
      <w:proofErr w:type="spellEnd"/>
      <w:r w:rsidRPr="005E770B">
        <w:rPr>
          <w:rFonts w:ascii="Times New Roman" w:hAnsi="Times New Roman" w:cs="Times New Roman"/>
          <w:sz w:val="16"/>
          <w:szCs w:val="16"/>
        </w:rPr>
        <w:t>) and the ministeriales. What distinguished them from other knights, who were vassals of a higher lord, was that they had been granted imperial immediacy, and as such were the equals in most respects to the other individuals or entities, such as the secular and ecclesiastical territorial rulers of the Empire, such as margraves, dukes, princes, counts, archbishops, bishops, abbots, etc., and the free imperial cities, that also enjoyed Imperial immediacy. However, unlike all of those, the Imperial knights did not possess the status of Estates (</w:t>
      </w:r>
      <w:proofErr w:type="spellStart"/>
      <w:r w:rsidRPr="005E770B">
        <w:rPr>
          <w:rFonts w:ascii="Times New Roman" w:hAnsi="Times New Roman" w:cs="Times New Roman"/>
          <w:i/>
          <w:iCs/>
          <w:sz w:val="16"/>
          <w:szCs w:val="16"/>
        </w:rPr>
        <w:t>Stände</w:t>
      </w:r>
      <w:proofErr w:type="spellEnd"/>
      <w:r w:rsidRPr="005E770B">
        <w:rPr>
          <w:rFonts w:ascii="Times New Roman" w:hAnsi="Times New Roman" w:cs="Times New Roman"/>
          <w:sz w:val="16"/>
          <w:szCs w:val="16"/>
        </w:rPr>
        <w:t xml:space="preserve">) of the Empire, and therefore were not represented, individually or collectively, in the Imperial Diet. They tended to define their responsibilities to the Empire in terms of feudalized obligations to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including personal service and strictly voluntary financial offerings paid to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himself. To protect their rights and avoid vassalage to more powerful nobles, they organized themselves into three unions termed </w:t>
      </w:r>
      <w:proofErr w:type="spellStart"/>
      <w:r w:rsidRPr="005E770B">
        <w:rPr>
          <w:rFonts w:ascii="Times New Roman" w:hAnsi="Times New Roman" w:cs="Times New Roman"/>
          <w:sz w:val="16"/>
          <w:szCs w:val="16"/>
        </w:rPr>
        <w:t>Partheien</w:t>
      </w:r>
      <w:proofErr w:type="spellEnd"/>
      <w:r w:rsidRPr="005E770B">
        <w:rPr>
          <w:rFonts w:ascii="Times New Roman" w:hAnsi="Times New Roman" w:cs="Times New Roman"/>
          <w:sz w:val="16"/>
          <w:szCs w:val="16"/>
        </w:rPr>
        <w:t xml:space="preserve">, in the late 15th century and into a single body in 1577 and fought to win recognition. This status, beholden only to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himself rather than through a more powerful noble, meant the Imperial Knights were "immediate subjects", their fealty was unmediated by another lord. As such, the Imperial Knights exercised a limited form of sovereignty within their territories.</w:t>
      </w:r>
    </w:p>
    <w:p w14:paraId="6F6E8DAE" w14:textId="77777777" w:rsidR="00FA66A2" w:rsidRPr="009C11A9" w:rsidRDefault="00FA66A2" w:rsidP="00FA66A2">
      <w:pPr>
        <w:autoSpaceDE w:val="0"/>
        <w:autoSpaceDN w:val="0"/>
        <w:adjustRightInd w:val="0"/>
        <w:spacing w:after="0"/>
        <w:rPr>
          <w:rFonts w:ascii="Times New Roman" w:hAnsi="Times New Roman" w:cs="Times New Roman"/>
          <w:sz w:val="8"/>
          <w:szCs w:val="8"/>
        </w:rPr>
      </w:pPr>
    </w:p>
    <w:p w14:paraId="7F3E352F"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9C11A9">
        <w:rPr>
          <w:rFonts w:ascii="Times New Roman" w:hAnsi="Times New Roman" w:cs="Times New Roman"/>
          <w:b/>
          <w:bCs/>
          <w:sz w:val="16"/>
          <w:szCs w:val="16"/>
        </w:rPr>
        <w:t>The Imperial Knighthood</w:t>
      </w:r>
      <w:r w:rsidRPr="005E770B">
        <w:rPr>
          <w:rFonts w:ascii="Times New Roman" w:hAnsi="Times New Roman" w:cs="Times New Roman"/>
          <w:sz w:val="16"/>
          <w:szCs w:val="16"/>
        </w:rPr>
        <w:t xml:space="preserve"> was a regional phenomenon limited to southwestern and south-central Germany—Swabia, Franconia and the Middle Rhine area—zones which were highly fragmented politically and where no powerful states were able to develop. In northern and northeastern Germany, as well as in Bavaria and the Archduchy of Austria, the local nobles, facing larger states and stronger rulers, were incapable of developing and maintaining their independence. </w:t>
      </w:r>
      <w:r w:rsidRPr="005E770B">
        <w:rPr>
          <w:rFonts w:ascii="Times New Roman" w:hAnsi="Times New Roman" w:cs="Times New Roman"/>
          <w:b/>
          <w:bCs/>
          <w:sz w:val="16"/>
          <w:szCs w:val="16"/>
        </w:rPr>
        <w:t xml:space="preserve">They formed </w:t>
      </w:r>
      <w:proofErr w:type="gramStart"/>
      <w:r w:rsidRPr="005E770B">
        <w:rPr>
          <w:rFonts w:ascii="Times New Roman" w:hAnsi="Times New Roman" w:cs="Times New Roman"/>
          <w:b/>
          <w:bCs/>
          <w:sz w:val="16"/>
          <w:szCs w:val="16"/>
        </w:rPr>
        <w:t>the territorial</w:t>
      </w:r>
      <w:proofErr w:type="gramEnd"/>
      <w:r w:rsidRPr="005E770B">
        <w:rPr>
          <w:rFonts w:ascii="Times New Roman" w:hAnsi="Times New Roman" w:cs="Times New Roman"/>
          <w:b/>
          <w:bCs/>
          <w:sz w:val="16"/>
          <w:szCs w:val="16"/>
        </w:rPr>
        <w:t xml:space="preserve"> nobility. </w:t>
      </w:r>
      <w:r w:rsidRPr="005E770B">
        <w:rPr>
          <w:rFonts w:ascii="Times New Roman" w:hAnsi="Times New Roman" w:cs="Times New Roman"/>
          <w:sz w:val="16"/>
          <w:szCs w:val="16"/>
        </w:rPr>
        <w:t xml:space="preserve">The immediate status of the Imperial Knights was recognized at the Peace of Westphalia. They never gained access to the Imperial Diet, the parliament of lords, and were not considered Hochadel, the high nobility, belonging to the Lower Nobility. From 1489 onwards, the </w:t>
      </w:r>
      <w:r w:rsidRPr="005E770B">
        <w:rPr>
          <w:rFonts w:ascii="Times New Roman" w:hAnsi="Times New Roman" w:cs="Times New Roman"/>
          <w:b/>
          <w:bCs/>
          <w:sz w:val="16"/>
          <w:szCs w:val="16"/>
        </w:rPr>
        <w:t xml:space="preserve">Imperial Diet or </w:t>
      </w:r>
      <w:proofErr w:type="gramStart"/>
      <w:r w:rsidRPr="005E770B">
        <w:rPr>
          <w:rFonts w:ascii="Times New Roman" w:hAnsi="Times New Roman" w:cs="Times New Roman"/>
          <w:b/>
          <w:bCs/>
          <w:sz w:val="16"/>
          <w:szCs w:val="16"/>
        </w:rPr>
        <w:t>Assembly</w:t>
      </w:r>
      <w:r w:rsidRPr="005E770B">
        <w:rPr>
          <w:rFonts w:ascii="Times New Roman" w:hAnsi="Times New Roman" w:cs="Times New Roman"/>
          <w:sz w:val="16"/>
          <w:szCs w:val="16"/>
        </w:rPr>
        <w:t>,</w:t>
      </w:r>
      <w:proofErr w:type="gramEnd"/>
      <w:r w:rsidRPr="005E770B">
        <w:rPr>
          <w:rFonts w:ascii="Times New Roman" w:hAnsi="Times New Roman" w:cs="Times New Roman"/>
          <w:sz w:val="16"/>
          <w:szCs w:val="16"/>
        </w:rPr>
        <w:t xml:space="preserve"> was divided into three </w:t>
      </w:r>
      <w:r w:rsidRPr="005E770B">
        <w:rPr>
          <w:rFonts w:ascii="Times New Roman" w:hAnsi="Times New Roman" w:cs="Times New Roman"/>
          <w:i/>
          <w:iCs/>
          <w:sz w:val="16"/>
          <w:szCs w:val="16"/>
          <w:lang w:val="la-Latn"/>
        </w:rPr>
        <w:t>collegia</w:t>
      </w:r>
      <w:r w:rsidRPr="005E770B">
        <w:rPr>
          <w:rFonts w:ascii="Times New Roman" w:hAnsi="Times New Roman" w:cs="Times New Roman"/>
          <w:sz w:val="16"/>
          <w:szCs w:val="16"/>
        </w:rPr>
        <w:t xml:space="preserve">: the </w:t>
      </w:r>
      <w:r w:rsidRPr="005E770B">
        <w:rPr>
          <w:rFonts w:ascii="Times New Roman" w:hAnsi="Times New Roman" w:cs="Times New Roman"/>
          <w:b/>
          <w:bCs/>
          <w:sz w:val="16"/>
          <w:szCs w:val="16"/>
        </w:rPr>
        <w:t>Council of Electors,</w:t>
      </w:r>
      <w:r w:rsidRPr="005E770B">
        <w:rPr>
          <w:rFonts w:ascii="Times New Roman" w:hAnsi="Times New Roman" w:cs="Times New Roman"/>
          <w:sz w:val="16"/>
          <w:szCs w:val="16"/>
        </w:rPr>
        <w:t xml:space="preserve"> the Council of Princes, and the Council of Cities. Electoral states belonged to the Council of Electors; other states, whether ecclesiastical or secular, belonged to the Council of Princes.</w:t>
      </w:r>
    </w:p>
    <w:p w14:paraId="108B3859" w14:textId="77777777" w:rsidR="00FA66A2" w:rsidRPr="009C11A9" w:rsidRDefault="00FA66A2" w:rsidP="00FA66A2">
      <w:pPr>
        <w:autoSpaceDE w:val="0"/>
        <w:autoSpaceDN w:val="0"/>
        <w:adjustRightInd w:val="0"/>
        <w:spacing w:after="0"/>
        <w:rPr>
          <w:rFonts w:ascii="Times New Roman" w:hAnsi="Times New Roman" w:cs="Times New Roman"/>
          <w:sz w:val="8"/>
          <w:szCs w:val="8"/>
        </w:rPr>
      </w:pPr>
    </w:p>
    <w:p w14:paraId="47FD73F1" w14:textId="77777777" w:rsidR="00FA66A2" w:rsidRPr="009C11A9" w:rsidRDefault="00FA66A2" w:rsidP="00FA66A2">
      <w:pPr>
        <w:pStyle w:val="ListParagraph"/>
        <w:numPr>
          <w:ilvl w:val="0"/>
          <w:numId w:val="3"/>
        </w:numPr>
        <w:autoSpaceDE w:val="0"/>
        <w:autoSpaceDN w:val="0"/>
        <w:adjustRightInd w:val="0"/>
        <w:spacing w:after="0"/>
        <w:rPr>
          <w:rFonts w:ascii="Times New Roman" w:hAnsi="Times New Roman" w:cs="Times New Roman"/>
          <w:sz w:val="16"/>
          <w:szCs w:val="16"/>
          <w:lang w:bidi="ar-SA"/>
        </w:rPr>
      </w:pPr>
      <w:r w:rsidRPr="009C11A9">
        <w:rPr>
          <w:rFonts w:ascii="Times New Roman" w:hAnsi="Times New Roman" w:cs="Times New Roman"/>
          <w:b/>
          <w:bCs/>
          <w:sz w:val="16"/>
          <w:szCs w:val="16"/>
        </w:rPr>
        <w:t xml:space="preserve">Electors: </w:t>
      </w:r>
      <w:r w:rsidRPr="009C11A9">
        <w:rPr>
          <w:rFonts w:ascii="Times New Roman" w:hAnsi="Times New Roman" w:cs="Times New Roman"/>
          <w:sz w:val="16"/>
          <w:szCs w:val="16"/>
        </w:rPr>
        <w:t>The Electoral College (</w:t>
      </w:r>
      <w:proofErr w:type="spellStart"/>
      <w:r w:rsidRPr="009C11A9">
        <w:rPr>
          <w:rFonts w:ascii="Times New Roman" w:hAnsi="Times New Roman" w:cs="Times New Roman"/>
          <w:i/>
          <w:iCs/>
          <w:sz w:val="16"/>
          <w:szCs w:val="16"/>
        </w:rPr>
        <w:t>Kurfürstenrat</w:t>
      </w:r>
      <w:proofErr w:type="spellEnd"/>
      <w:r w:rsidRPr="009C11A9">
        <w:rPr>
          <w:rFonts w:ascii="Times New Roman" w:hAnsi="Times New Roman" w:cs="Times New Roman"/>
          <w:sz w:val="16"/>
          <w:szCs w:val="16"/>
        </w:rPr>
        <w:t xml:space="preserve">) was led by the prince-archbishop of Mainz in his capacity as archchancellor of Germany. </w:t>
      </w:r>
    </w:p>
    <w:p w14:paraId="6155B493" w14:textId="77777777" w:rsidR="00FA66A2" w:rsidRPr="009C11A9" w:rsidRDefault="00FA66A2" w:rsidP="00FA66A2">
      <w:pPr>
        <w:pStyle w:val="ListParagraph"/>
        <w:autoSpaceDE w:val="0"/>
        <w:autoSpaceDN w:val="0"/>
        <w:adjustRightInd w:val="0"/>
        <w:spacing w:after="0"/>
        <w:rPr>
          <w:rFonts w:ascii="Times New Roman" w:hAnsi="Times New Roman" w:cs="Times New Roman"/>
          <w:sz w:val="8"/>
          <w:szCs w:val="8"/>
          <w:lang w:bidi="ar-SA"/>
        </w:rPr>
      </w:pPr>
    </w:p>
    <w:p w14:paraId="2FFD44F1" w14:textId="77777777" w:rsidR="00FA66A2" w:rsidRPr="009C11A9" w:rsidRDefault="00FA66A2" w:rsidP="00FA66A2">
      <w:pPr>
        <w:pStyle w:val="ListParagraph"/>
        <w:numPr>
          <w:ilvl w:val="0"/>
          <w:numId w:val="3"/>
        </w:numPr>
        <w:autoSpaceDE w:val="0"/>
        <w:autoSpaceDN w:val="0"/>
        <w:adjustRightInd w:val="0"/>
        <w:spacing w:after="0"/>
        <w:rPr>
          <w:rFonts w:ascii="Times New Roman" w:hAnsi="Times New Roman" w:cs="Times New Roman"/>
          <w:sz w:val="16"/>
          <w:szCs w:val="16"/>
          <w:lang w:bidi="ar-SA"/>
        </w:rPr>
      </w:pPr>
      <w:r w:rsidRPr="009C11A9">
        <w:rPr>
          <w:rFonts w:ascii="Times New Roman" w:hAnsi="Times New Roman" w:cs="Times New Roman"/>
          <w:b/>
          <w:bCs/>
          <w:sz w:val="16"/>
          <w:szCs w:val="16"/>
        </w:rPr>
        <w:t>Princes:</w:t>
      </w:r>
      <w:r w:rsidRPr="009C11A9">
        <w:rPr>
          <w:rFonts w:ascii="Times New Roman" w:hAnsi="Times New Roman" w:cs="Times New Roman"/>
          <w:sz w:val="16"/>
          <w:szCs w:val="16"/>
          <w:lang w:bidi="ar-SA"/>
        </w:rPr>
        <w:t xml:space="preserve"> </w:t>
      </w:r>
      <w:r w:rsidRPr="009C11A9">
        <w:rPr>
          <w:rFonts w:ascii="Times New Roman" w:hAnsi="Times New Roman" w:cs="Times New Roman"/>
          <w:sz w:val="16"/>
          <w:szCs w:val="16"/>
        </w:rPr>
        <w:t>The college of Imperial princes (</w:t>
      </w:r>
      <w:proofErr w:type="spellStart"/>
      <w:r w:rsidRPr="009C11A9">
        <w:rPr>
          <w:rFonts w:ascii="Times New Roman" w:hAnsi="Times New Roman" w:cs="Times New Roman"/>
          <w:i/>
          <w:iCs/>
          <w:sz w:val="16"/>
          <w:szCs w:val="16"/>
        </w:rPr>
        <w:t>Reichsfürstenrat</w:t>
      </w:r>
      <w:proofErr w:type="spellEnd"/>
      <w:r w:rsidRPr="009C11A9">
        <w:rPr>
          <w:rFonts w:ascii="Times New Roman" w:hAnsi="Times New Roman" w:cs="Times New Roman"/>
          <w:sz w:val="16"/>
          <w:szCs w:val="16"/>
        </w:rPr>
        <w:t xml:space="preserve"> or </w:t>
      </w:r>
      <w:proofErr w:type="spellStart"/>
      <w:r w:rsidRPr="009C11A9">
        <w:rPr>
          <w:rFonts w:ascii="Times New Roman" w:hAnsi="Times New Roman" w:cs="Times New Roman"/>
          <w:i/>
          <w:iCs/>
          <w:sz w:val="16"/>
          <w:szCs w:val="16"/>
        </w:rPr>
        <w:t>Fürstenbank</w:t>
      </w:r>
      <w:proofErr w:type="spellEnd"/>
      <w:r w:rsidRPr="009C11A9">
        <w:rPr>
          <w:rFonts w:ascii="Times New Roman" w:hAnsi="Times New Roman" w:cs="Times New Roman"/>
          <w:sz w:val="16"/>
          <w:szCs w:val="16"/>
        </w:rPr>
        <w:t xml:space="preserve">) incorporated the Imperial counts as well as immediate lords, prince-bishops and Imperial abbots. Strong in members, though often discordant, the second college tried to preserve its interests against the dominance of the </w:t>
      </w:r>
      <w:proofErr w:type="gramStart"/>
      <w:r w:rsidRPr="009C11A9">
        <w:rPr>
          <w:rFonts w:ascii="Times New Roman" w:hAnsi="Times New Roman" w:cs="Times New Roman"/>
          <w:sz w:val="16"/>
          <w:szCs w:val="16"/>
        </w:rPr>
        <w:t>Prince</w:t>
      </w:r>
      <w:proofErr w:type="gramEnd"/>
      <w:r w:rsidRPr="009C11A9">
        <w:rPr>
          <w:rFonts w:ascii="Times New Roman" w:hAnsi="Times New Roman" w:cs="Times New Roman"/>
          <w:sz w:val="16"/>
          <w:szCs w:val="16"/>
        </w:rPr>
        <w:t xml:space="preserve">-electors. </w:t>
      </w:r>
      <w:proofErr w:type="gramStart"/>
      <w:r w:rsidRPr="009C11A9">
        <w:rPr>
          <w:rFonts w:ascii="Times New Roman" w:hAnsi="Times New Roman" w:cs="Times New Roman"/>
          <w:sz w:val="16"/>
          <w:szCs w:val="16"/>
        </w:rPr>
        <w:t>he</w:t>
      </w:r>
      <w:proofErr w:type="gramEnd"/>
      <w:r w:rsidRPr="009C11A9">
        <w:rPr>
          <w:rFonts w:ascii="Times New Roman" w:hAnsi="Times New Roman" w:cs="Times New Roman"/>
          <w:sz w:val="16"/>
          <w:szCs w:val="16"/>
        </w:rPr>
        <w:t xml:space="preserve"> House of Princes was again subdivided into an ecclesiastical and </w:t>
      </w:r>
      <w:proofErr w:type="gramStart"/>
      <w:r w:rsidRPr="009C11A9">
        <w:rPr>
          <w:rFonts w:ascii="Times New Roman" w:hAnsi="Times New Roman" w:cs="Times New Roman"/>
          <w:sz w:val="16"/>
          <w:szCs w:val="16"/>
        </w:rPr>
        <w:t>a secular</w:t>
      </w:r>
      <w:proofErr w:type="gramEnd"/>
      <w:r w:rsidRPr="009C11A9">
        <w:rPr>
          <w:rFonts w:ascii="Times New Roman" w:hAnsi="Times New Roman" w:cs="Times New Roman"/>
          <w:sz w:val="16"/>
          <w:szCs w:val="16"/>
        </w:rPr>
        <w:t xml:space="preserve"> bench. Remarkably, the ecclesiastical bench was headed by the—secular—Archduke of Austria and the Burgundian duke of the Habsburg Netherlands, held by Habsburg Spain from 1556. As the Austrian House of Habsburg had failed to assume the leadership of the secular bench, they received the guidance over the ecclesiastical princes. The first ecclesiastical prince was the archbishop of Salzburg as </w:t>
      </w:r>
      <w:r w:rsidRPr="009C11A9">
        <w:rPr>
          <w:rFonts w:ascii="Times New Roman" w:hAnsi="Times New Roman" w:cs="Times New Roman"/>
          <w:i/>
          <w:iCs/>
          <w:sz w:val="16"/>
          <w:szCs w:val="16"/>
        </w:rPr>
        <w:t xml:space="preserve">Primas </w:t>
      </w:r>
      <w:proofErr w:type="spellStart"/>
      <w:r w:rsidRPr="009C11A9">
        <w:rPr>
          <w:rFonts w:ascii="Times New Roman" w:hAnsi="Times New Roman" w:cs="Times New Roman"/>
          <w:i/>
          <w:iCs/>
          <w:sz w:val="16"/>
          <w:szCs w:val="16"/>
        </w:rPr>
        <w:t>Germaniae</w:t>
      </w:r>
      <w:proofErr w:type="spellEnd"/>
      <w:r w:rsidRPr="009C11A9">
        <w:rPr>
          <w:rFonts w:ascii="Times New Roman" w:hAnsi="Times New Roman" w:cs="Times New Roman"/>
          <w:sz w:val="16"/>
          <w:szCs w:val="16"/>
        </w:rPr>
        <w:t xml:space="preserve">; the prince-archbishop of </w:t>
      </w:r>
      <w:proofErr w:type="spellStart"/>
      <w:r w:rsidRPr="009C11A9">
        <w:rPr>
          <w:rFonts w:ascii="Times New Roman" w:hAnsi="Times New Roman" w:cs="Times New Roman"/>
          <w:sz w:val="16"/>
          <w:szCs w:val="16"/>
        </w:rPr>
        <w:t>Besançon</w:t>
      </w:r>
      <w:proofErr w:type="spellEnd"/>
      <w:r w:rsidRPr="009C11A9">
        <w:rPr>
          <w:rFonts w:ascii="Times New Roman" w:hAnsi="Times New Roman" w:cs="Times New Roman"/>
          <w:sz w:val="16"/>
          <w:szCs w:val="16"/>
        </w:rPr>
        <w:t>, though officially a member until the 1678 Treaty of Nijmegen, did not attend the Diet's meetings.</w:t>
      </w:r>
    </w:p>
    <w:p w14:paraId="224AADB7" w14:textId="77777777" w:rsidR="00FA66A2" w:rsidRPr="009C11A9" w:rsidRDefault="00FA66A2" w:rsidP="00FA66A2">
      <w:pPr>
        <w:pStyle w:val="ListParagraph"/>
        <w:autoSpaceDE w:val="0"/>
        <w:autoSpaceDN w:val="0"/>
        <w:adjustRightInd w:val="0"/>
        <w:spacing w:after="0"/>
        <w:rPr>
          <w:rFonts w:ascii="Times New Roman" w:hAnsi="Times New Roman" w:cs="Times New Roman"/>
          <w:sz w:val="8"/>
          <w:szCs w:val="8"/>
          <w:lang w:bidi="ar-SA"/>
        </w:rPr>
      </w:pPr>
    </w:p>
    <w:p w14:paraId="25F708FE" w14:textId="77777777" w:rsidR="00FA66A2" w:rsidRPr="009C11A9" w:rsidRDefault="00FA66A2" w:rsidP="00FA66A2">
      <w:pPr>
        <w:pStyle w:val="ListParagraph"/>
        <w:numPr>
          <w:ilvl w:val="0"/>
          <w:numId w:val="3"/>
        </w:numPr>
        <w:autoSpaceDE w:val="0"/>
        <w:autoSpaceDN w:val="0"/>
        <w:adjustRightInd w:val="0"/>
        <w:spacing w:after="0"/>
        <w:rPr>
          <w:rFonts w:ascii="Times New Roman" w:hAnsi="Times New Roman" w:cs="Times New Roman"/>
          <w:sz w:val="16"/>
          <w:szCs w:val="16"/>
        </w:rPr>
      </w:pPr>
      <w:r w:rsidRPr="009C11A9">
        <w:rPr>
          <w:rFonts w:ascii="Times New Roman" w:hAnsi="Times New Roman" w:cs="Times New Roman"/>
          <w:b/>
          <w:bCs/>
          <w:sz w:val="16"/>
          <w:szCs w:val="16"/>
        </w:rPr>
        <w:t>Cities:</w:t>
      </w:r>
      <w:r w:rsidRPr="009C11A9">
        <w:rPr>
          <w:rFonts w:ascii="Times New Roman" w:hAnsi="Times New Roman" w:cs="Times New Roman"/>
          <w:sz w:val="16"/>
          <w:szCs w:val="16"/>
        </w:rPr>
        <w:t xml:space="preserve"> The college of Imperial Cities (</w:t>
      </w:r>
      <w:proofErr w:type="spellStart"/>
      <w:r w:rsidRPr="009C11A9">
        <w:rPr>
          <w:rFonts w:ascii="Times New Roman" w:hAnsi="Times New Roman" w:cs="Times New Roman"/>
          <w:i/>
          <w:iCs/>
          <w:sz w:val="16"/>
          <w:szCs w:val="16"/>
        </w:rPr>
        <w:t>Reichsstädtekollegium</w:t>
      </w:r>
      <w:proofErr w:type="spellEnd"/>
      <w:r w:rsidRPr="009C11A9">
        <w:rPr>
          <w:rFonts w:ascii="Times New Roman" w:hAnsi="Times New Roman" w:cs="Times New Roman"/>
          <w:sz w:val="16"/>
          <w:szCs w:val="16"/>
        </w:rPr>
        <w:t xml:space="preserve">) evolved from 1489 onwards. It contributed greatly to the development of the Imperial Diets as a political institution. Nevertheless, the collective vote of the cities was of inferior importance until a 1582 </w:t>
      </w:r>
      <w:hyperlink r:id="rId8" w:tooltip="Recess (Holy Roman Empire)" w:history="1">
        <w:r w:rsidRPr="009C11A9">
          <w:rPr>
            <w:rStyle w:val="Hyperlink"/>
            <w:rFonts w:ascii="Times New Roman" w:hAnsi="Times New Roman" w:cs="Times New Roman"/>
            <w:sz w:val="16"/>
            <w:szCs w:val="16"/>
          </w:rPr>
          <w:t>Recess</w:t>
        </w:r>
      </w:hyperlink>
      <w:r w:rsidRPr="009C11A9">
        <w:rPr>
          <w:rFonts w:ascii="Times New Roman" w:hAnsi="Times New Roman" w:cs="Times New Roman"/>
          <w:sz w:val="16"/>
          <w:szCs w:val="16"/>
        </w:rPr>
        <w:t xml:space="preserve"> of the Augsburg Diet. Until 1582 the votes of the Free and Imperial Cities were only advisory. None of the rulers below the Holy Roman Emperor ranked as kings, </w:t>
      </w:r>
      <w:proofErr w:type="gramStart"/>
      <w:r w:rsidRPr="009C11A9">
        <w:rPr>
          <w:rFonts w:ascii="Times New Roman" w:hAnsi="Times New Roman" w:cs="Times New Roman"/>
          <w:sz w:val="16"/>
          <w:szCs w:val="16"/>
        </w:rPr>
        <w:t>with the exception of</w:t>
      </w:r>
      <w:proofErr w:type="gramEnd"/>
      <w:r w:rsidRPr="009C11A9">
        <w:rPr>
          <w:rFonts w:ascii="Times New Roman" w:hAnsi="Times New Roman" w:cs="Times New Roman"/>
          <w:sz w:val="16"/>
          <w:szCs w:val="16"/>
        </w:rPr>
        <w:t xml:space="preserve"> the Kings of Bohemia. The college was led by the city council of the actual venue until the Perpetual Diet in 1663, when the chair passed to Regensburg. The Imperial cities also divided into a Swabian and Rhenish bench. The Swabian cities were led by Nuremberg, Augsburg and Regensburg, the Rhenish cities by Cologne, Aachen and Frankfurt. </w:t>
      </w:r>
    </w:p>
    <w:p w14:paraId="1120C501"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31326AD7"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In June 2013, the Golden Bull was included in </w:t>
      </w:r>
      <w:proofErr w:type="gramStart"/>
      <w:r w:rsidRPr="005E770B">
        <w:rPr>
          <w:rFonts w:ascii="Times New Roman" w:hAnsi="Times New Roman" w:cs="Times New Roman"/>
          <w:sz w:val="16"/>
          <w:szCs w:val="16"/>
        </w:rPr>
        <w:t>the UNESCO's</w:t>
      </w:r>
      <w:proofErr w:type="gramEnd"/>
      <w:r w:rsidRPr="005E770B">
        <w:rPr>
          <w:rFonts w:ascii="Times New Roman" w:hAnsi="Times New Roman" w:cs="Times New Roman"/>
          <w:sz w:val="16"/>
          <w:szCs w:val="16"/>
        </w:rPr>
        <w:t xml:space="preserve"> </w:t>
      </w:r>
      <w:r w:rsidRPr="005E770B">
        <w:rPr>
          <w:rFonts w:ascii="Times New Roman" w:hAnsi="Times New Roman" w:cs="Times New Roman"/>
          <w:b/>
          <w:bCs/>
          <w:sz w:val="16"/>
          <w:szCs w:val="16"/>
        </w:rPr>
        <w:t>Memory of the World Register</w:t>
      </w:r>
      <w:r w:rsidRPr="005E770B">
        <w:rPr>
          <w:rFonts w:ascii="Times New Roman" w:hAnsi="Times New Roman" w:cs="Times New Roman"/>
          <w:sz w:val="16"/>
          <w:szCs w:val="16"/>
        </w:rPr>
        <w:t xml:space="preserve">. </w:t>
      </w:r>
    </w:p>
    <w:p w14:paraId="76398BC6"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18B42AAF"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Votes were held in right of the states, rather than personally. Consequently, an individual ruling several states held multiple votes; similarly, multiple individuals ruling parts of the same state shared a single vote. These rules were not formalized until 1582; before then, when multiple individuals inherited parts of the same state, they sometimes received a vote each. Votes were either individual or collective. Princes and senior clerics generally held individual votes but such votes, as noted above, were sometimes shared. Prelates, abbots and priors, without individual votes were classified into two benches: the Bench of the Rhine and the Bench of Swabia. Each of these had a collective vote. Similarly, Counts were grouped into four comital benches with one collective vote each: the Upper Rhenish Bench of Wetterau, the Swabian Bench, the Franconian Bench and the Westphalian Bench.</w:t>
      </w:r>
    </w:p>
    <w:p w14:paraId="52D649E0"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01DCE91A"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lastRenderedPageBreak/>
        <w:t xml:space="preserve">No elector ever held multiple electorates; nor were electorates ever divided between multiple heirs. Hence, in the Council of Electors, </w:t>
      </w:r>
      <w:proofErr w:type="gramStart"/>
      <w:r w:rsidRPr="005E770B">
        <w:rPr>
          <w:rFonts w:ascii="Times New Roman" w:hAnsi="Times New Roman" w:cs="Times New Roman"/>
          <w:sz w:val="16"/>
          <w:szCs w:val="16"/>
        </w:rPr>
        <w:t>each individual</w:t>
      </w:r>
      <w:proofErr w:type="gramEnd"/>
      <w:r w:rsidRPr="005E770B">
        <w:rPr>
          <w:rFonts w:ascii="Times New Roman" w:hAnsi="Times New Roman" w:cs="Times New Roman"/>
          <w:sz w:val="16"/>
          <w:szCs w:val="16"/>
        </w:rPr>
        <w:t xml:space="preserve"> held exactly one vote. An example of this was when Charles Theodore, Elector Palatine, inherited the Electorate of Bavaria in 1777, the vote of the Palatinate was nullified. However, Electors who ruled states in addition to their electorates also voted in the Council of Princes; similarly, princes who also ruled comital territories voted both individually and in the comital benches. In the Reichstag in 1792, for instance, the Elector of Brandenburg held eight individual votes in the Council of Princes and one vote in the Bench of Westphalia. Similarly, among ecclesiastics, the Grand Master of the Teutonic Order held one individual vote in the Council of Princes and two in the Bench of the Rhine.</w:t>
      </w:r>
    </w:p>
    <w:p w14:paraId="12E72BF1"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498D7772"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Apart from the highest tiers of the emperor, kings, prince-bishops and the prince electors, the estates are represented in groups of four. The number of quaternions was usually ten, in descending order of precedence Dukes (</w:t>
      </w:r>
      <w:r w:rsidRPr="005E770B">
        <w:rPr>
          <w:rFonts w:ascii="Times New Roman" w:hAnsi="Times New Roman" w:cs="Times New Roman"/>
          <w:b/>
          <w:bCs/>
          <w:i/>
          <w:iCs/>
          <w:sz w:val="16"/>
          <w:szCs w:val="16"/>
        </w:rPr>
        <w:t>Duces</w:t>
      </w:r>
      <w:r w:rsidRPr="005E770B">
        <w:rPr>
          <w:rFonts w:ascii="Times New Roman" w:hAnsi="Times New Roman" w:cs="Times New Roman"/>
          <w:sz w:val="16"/>
          <w:szCs w:val="16"/>
        </w:rPr>
        <w:t>), Margraves (</w:t>
      </w:r>
      <w:proofErr w:type="spellStart"/>
      <w:r w:rsidRPr="005E770B">
        <w:rPr>
          <w:rFonts w:ascii="Times New Roman" w:hAnsi="Times New Roman" w:cs="Times New Roman"/>
          <w:b/>
          <w:bCs/>
          <w:i/>
          <w:iCs/>
          <w:sz w:val="16"/>
          <w:szCs w:val="16"/>
        </w:rPr>
        <w:t>Marchiones</w:t>
      </w:r>
      <w:proofErr w:type="spellEnd"/>
      <w:r w:rsidRPr="005E770B">
        <w:rPr>
          <w:rFonts w:ascii="Times New Roman" w:hAnsi="Times New Roman" w:cs="Times New Roman"/>
          <w:sz w:val="16"/>
          <w:szCs w:val="16"/>
        </w:rPr>
        <w:t>), Landgraves (</w:t>
      </w:r>
      <w:r w:rsidRPr="005E770B">
        <w:rPr>
          <w:rFonts w:ascii="Times New Roman" w:hAnsi="Times New Roman" w:cs="Times New Roman"/>
          <w:b/>
          <w:bCs/>
          <w:i/>
          <w:iCs/>
          <w:sz w:val="16"/>
          <w:szCs w:val="16"/>
          <w:lang w:val="la-Latn"/>
        </w:rPr>
        <w:t>Comites Provinciales</w:t>
      </w:r>
      <w:r w:rsidRPr="005E770B">
        <w:rPr>
          <w:rFonts w:ascii="Times New Roman" w:hAnsi="Times New Roman" w:cs="Times New Roman"/>
          <w:sz w:val="16"/>
          <w:szCs w:val="16"/>
        </w:rPr>
        <w:t xml:space="preserve">), </w:t>
      </w:r>
      <w:proofErr w:type="spellStart"/>
      <w:r w:rsidRPr="005E770B">
        <w:rPr>
          <w:rFonts w:ascii="Times New Roman" w:hAnsi="Times New Roman" w:cs="Times New Roman"/>
          <w:sz w:val="16"/>
          <w:szCs w:val="16"/>
        </w:rPr>
        <w:t>Burggraves</w:t>
      </w:r>
      <w:proofErr w:type="spellEnd"/>
      <w:r w:rsidRPr="005E770B">
        <w:rPr>
          <w:rFonts w:ascii="Times New Roman" w:hAnsi="Times New Roman" w:cs="Times New Roman"/>
          <w:sz w:val="16"/>
          <w:szCs w:val="16"/>
        </w:rPr>
        <w:t xml:space="preserve"> (</w:t>
      </w:r>
      <w:r w:rsidRPr="005E770B">
        <w:rPr>
          <w:rFonts w:ascii="Times New Roman" w:hAnsi="Times New Roman" w:cs="Times New Roman"/>
          <w:b/>
          <w:bCs/>
          <w:i/>
          <w:iCs/>
          <w:sz w:val="16"/>
          <w:szCs w:val="16"/>
        </w:rPr>
        <w:t xml:space="preserve">Comites </w:t>
      </w:r>
      <w:proofErr w:type="spellStart"/>
      <w:r w:rsidRPr="005E770B">
        <w:rPr>
          <w:rFonts w:ascii="Times New Roman" w:hAnsi="Times New Roman" w:cs="Times New Roman"/>
          <w:b/>
          <w:bCs/>
          <w:i/>
          <w:iCs/>
          <w:sz w:val="16"/>
          <w:szCs w:val="16"/>
        </w:rPr>
        <w:t>Castrenses</w:t>
      </w:r>
      <w:proofErr w:type="spellEnd"/>
      <w:r w:rsidRPr="005E770B">
        <w:rPr>
          <w:rFonts w:ascii="Times New Roman" w:hAnsi="Times New Roman" w:cs="Times New Roman"/>
          <w:sz w:val="16"/>
          <w:szCs w:val="16"/>
        </w:rPr>
        <w:t>), Counts (</w:t>
      </w:r>
      <w:r w:rsidRPr="005E770B">
        <w:rPr>
          <w:rFonts w:ascii="Times New Roman" w:hAnsi="Times New Roman" w:cs="Times New Roman"/>
          <w:b/>
          <w:bCs/>
          <w:i/>
          <w:iCs/>
          <w:sz w:val="16"/>
          <w:szCs w:val="16"/>
        </w:rPr>
        <w:t>Comites</w:t>
      </w:r>
      <w:r w:rsidRPr="005E770B">
        <w:rPr>
          <w:rFonts w:ascii="Times New Roman" w:hAnsi="Times New Roman" w:cs="Times New Roman"/>
          <w:sz w:val="16"/>
          <w:szCs w:val="16"/>
        </w:rPr>
        <w:t>), Knights (</w:t>
      </w:r>
      <w:proofErr w:type="spellStart"/>
      <w:r w:rsidRPr="005E770B">
        <w:rPr>
          <w:rFonts w:ascii="Times New Roman" w:hAnsi="Times New Roman" w:cs="Times New Roman"/>
          <w:b/>
          <w:bCs/>
          <w:i/>
          <w:iCs/>
          <w:sz w:val="16"/>
          <w:szCs w:val="16"/>
        </w:rPr>
        <w:t>Milites</w:t>
      </w:r>
      <w:proofErr w:type="spellEnd"/>
      <w:r w:rsidRPr="005E770B">
        <w:rPr>
          <w:rFonts w:ascii="Times New Roman" w:hAnsi="Times New Roman" w:cs="Times New Roman"/>
          <w:sz w:val="16"/>
          <w:szCs w:val="16"/>
        </w:rPr>
        <w:t>), Noblemen (</w:t>
      </w:r>
      <w:r w:rsidRPr="005E770B">
        <w:rPr>
          <w:rFonts w:ascii="Times New Roman" w:hAnsi="Times New Roman" w:cs="Times New Roman"/>
          <w:b/>
          <w:bCs/>
          <w:i/>
          <w:iCs/>
          <w:sz w:val="16"/>
          <w:szCs w:val="16"/>
        </w:rPr>
        <w:t>Liberi</w:t>
      </w:r>
      <w:r w:rsidRPr="005E770B">
        <w:rPr>
          <w:rFonts w:ascii="Times New Roman" w:hAnsi="Times New Roman" w:cs="Times New Roman"/>
          <w:sz w:val="16"/>
          <w:szCs w:val="16"/>
        </w:rPr>
        <w:t>), Cities (</w:t>
      </w:r>
      <w:r w:rsidRPr="005E770B">
        <w:rPr>
          <w:rFonts w:ascii="Times New Roman" w:hAnsi="Times New Roman" w:cs="Times New Roman"/>
          <w:b/>
          <w:bCs/>
          <w:i/>
          <w:iCs/>
          <w:color w:val="C00000"/>
          <w:sz w:val="16"/>
          <w:szCs w:val="16"/>
        </w:rPr>
        <w:t>Metropoles</w:t>
      </w:r>
      <w:r w:rsidRPr="005E770B">
        <w:rPr>
          <w:rFonts w:ascii="Times New Roman" w:hAnsi="Times New Roman" w:cs="Times New Roman"/>
          <w:sz w:val="16"/>
          <w:szCs w:val="16"/>
        </w:rPr>
        <w:t>), Villages (</w:t>
      </w:r>
      <w:proofErr w:type="spellStart"/>
      <w:r w:rsidRPr="005E770B">
        <w:rPr>
          <w:rFonts w:ascii="Times New Roman" w:hAnsi="Times New Roman" w:cs="Times New Roman"/>
          <w:b/>
          <w:bCs/>
          <w:i/>
          <w:iCs/>
          <w:sz w:val="16"/>
          <w:szCs w:val="16"/>
        </w:rPr>
        <w:t>Villae</w:t>
      </w:r>
      <w:proofErr w:type="spellEnd"/>
      <w:r w:rsidRPr="005E770B">
        <w:rPr>
          <w:rFonts w:ascii="Times New Roman" w:hAnsi="Times New Roman" w:cs="Times New Roman"/>
          <w:sz w:val="16"/>
          <w:szCs w:val="16"/>
        </w:rPr>
        <w:t>) and Peasants (</w:t>
      </w:r>
      <w:r w:rsidRPr="005E770B">
        <w:rPr>
          <w:rFonts w:ascii="Times New Roman" w:hAnsi="Times New Roman" w:cs="Times New Roman"/>
          <w:b/>
          <w:bCs/>
          <w:i/>
          <w:iCs/>
          <w:sz w:val="16"/>
          <w:szCs w:val="16"/>
        </w:rPr>
        <w:t>Rustici</w:t>
      </w:r>
      <w:r w:rsidRPr="005E770B">
        <w:rPr>
          <w:rFonts w:ascii="Times New Roman" w:hAnsi="Times New Roman" w:cs="Times New Roman"/>
          <w:sz w:val="16"/>
          <w:szCs w:val="16"/>
        </w:rPr>
        <w:t>). By the mid-16th century to as many as 45.</w:t>
      </w:r>
    </w:p>
    <w:p w14:paraId="532C386A"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627D18D7"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As has been noted from an early time, this representation of the "imperial constitution" does not in fact represent the actual constitution of the Holy Roman Empire, as some imperial cities appear as "villages" or even "peasants". E.g. the four "peasants" are Cologne, Constance, Regensburg and Salzburg. The </w:t>
      </w:r>
      <w:proofErr w:type="spellStart"/>
      <w:r w:rsidRPr="005E770B">
        <w:rPr>
          <w:rFonts w:ascii="Times New Roman" w:hAnsi="Times New Roman" w:cs="Times New Roman"/>
          <w:sz w:val="16"/>
          <w:szCs w:val="16"/>
        </w:rPr>
        <w:t>Burggrave</w:t>
      </w:r>
      <w:proofErr w:type="spellEnd"/>
      <w:r w:rsidRPr="005E770B">
        <w:rPr>
          <w:rFonts w:ascii="Times New Roman" w:hAnsi="Times New Roman" w:cs="Times New Roman"/>
          <w:sz w:val="16"/>
          <w:szCs w:val="16"/>
        </w:rPr>
        <w:t xml:space="preserve"> of </w:t>
      </w:r>
      <w:proofErr w:type="spellStart"/>
      <w:r w:rsidRPr="005E770B">
        <w:rPr>
          <w:rFonts w:ascii="Times New Roman" w:hAnsi="Times New Roman" w:cs="Times New Roman"/>
          <w:sz w:val="16"/>
          <w:szCs w:val="16"/>
        </w:rPr>
        <w:t>Stramberg</w:t>
      </w:r>
      <w:proofErr w:type="spellEnd"/>
      <w:r w:rsidRPr="005E770B">
        <w:rPr>
          <w:rFonts w:ascii="Times New Roman" w:hAnsi="Times New Roman" w:cs="Times New Roman"/>
          <w:sz w:val="16"/>
          <w:szCs w:val="16"/>
        </w:rPr>
        <w:t xml:space="preserve"> or Stromberg, </w:t>
      </w:r>
      <w:proofErr w:type="spellStart"/>
      <w:r w:rsidRPr="005E770B">
        <w:rPr>
          <w:rFonts w:ascii="Times New Roman" w:hAnsi="Times New Roman" w:cs="Times New Roman"/>
          <w:sz w:val="16"/>
          <w:szCs w:val="16"/>
        </w:rPr>
        <w:t>Straburg</w:t>
      </w:r>
      <w:proofErr w:type="spellEnd"/>
      <w:r w:rsidRPr="005E770B">
        <w:rPr>
          <w:rFonts w:ascii="Times New Roman" w:hAnsi="Times New Roman" w:cs="Times New Roman"/>
          <w:sz w:val="16"/>
          <w:szCs w:val="16"/>
        </w:rPr>
        <w:t xml:space="preserve">, </w:t>
      </w:r>
      <w:proofErr w:type="spellStart"/>
      <w:r w:rsidRPr="005E770B">
        <w:rPr>
          <w:rFonts w:ascii="Times New Roman" w:hAnsi="Times New Roman" w:cs="Times New Roman"/>
          <w:sz w:val="16"/>
          <w:szCs w:val="16"/>
        </w:rPr>
        <w:t>Strandeck</w:t>
      </w:r>
      <w:proofErr w:type="spellEnd"/>
      <w:r w:rsidRPr="005E770B">
        <w:rPr>
          <w:rFonts w:ascii="Times New Roman" w:hAnsi="Times New Roman" w:cs="Times New Roman"/>
          <w:sz w:val="16"/>
          <w:szCs w:val="16"/>
        </w:rPr>
        <w:t xml:space="preserve">, and variants, was an unknown entity even at the time. The representation of imperial subjects is also far from complete. The "imperial quaternions" are, rather, a </w:t>
      </w:r>
      <w:proofErr w:type="gramStart"/>
      <w:r w:rsidRPr="005E770B">
        <w:rPr>
          <w:rFonts w:ascii="Times New Roman" w:hAnsi="Times New Roman" w:cs="Times New Roman"/>
          <w:sz w:val="16"/>
          <w:szCs w:val="16"/>
        </w:rPr>
        <w:t>more or less random</w:t>
      </w:r>
      <w:proofErr w:type="gramEnd"/>
      <w:r w:rsidRPr="005E770B">
        <w:rPr>
          <w:rFonts w:ascii="Times New Roman" w:hAnsi="Times New Roman" w:cs="Times New Roman"/>
          <w:sz w:val="16"/>
          <w:szCs w:val="16"/>
        </w:rPr>
        <w:t xml:space="preserve"> selection intended to represent </w:t>
      </w:r>
      <w:hyperlink r:id="rId9" w:tooltip="Pars pro toto" w:history="1">
        <w:r w:rsidRPr="005E770B">
          <w:rPr>
            <w:rStyle w:val="Hyperlink"/>
            <w:rFonts w:ascii="Times New Roman" w:hAnsi="Times New Roman" w:cs="Times New Roman"/>
            <w:i/>
            <w:iCs/>
            <w:sz w:val="16"/>
            <w:szCs w:val="16"/>
          </w:rPr>
          <w:t>pars pro toto</w:t>
        </w:r>
      </w:hyperlink>
      <w:r w:rsidRPr="005E770B">
        <w:rPr>
          <w:rFonts w:ascii="Times New Roman" w:hAnsi="Times New Roman" w:cs="Times New Roman"/>
          <w:sz w:val="16"/>
          <w:szCs w:val="16"/>
        </w:rPr>
        <w:t xml:space="preserve"> the structure of the imperial constitution.</w:t>
      </w:r>
    </w:p>
    <w:p w14:paraId="742EE43E" w14:textId="77777777" w:rsidR="00FA66A2" w:rsidRPr="009C11A9" w:rsidRDefault="00FA66A2" w:rsidP="00FA66A2">
      <w:pPr>
        <w:pStyle w:val="ListParagraph"/>
        <w:autoSpaceDE w:val="0"/>
        <w:autoSpaceDN w:val="0"/>
        <w:adjustRightInd w:val="0"/>
        <w:spacing w:after="0" w:line="240" w:lineRule="auto"/>
        <w:ind w:left="-365"/>
        <w:rPr>
          <w:rFonts w:ascii="Times New Roman" w:hAnsi="Times New Roman" w:cs="Times New Roman"/>
          <w:sz w:val="8"/>
          <w:szCs w:val="8"/>
        </w:rPr>
      </w:pPr>
    </w:p>
    <w:p w14:paraId="45F70D31"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In order to strengthen various Habsburg claims and aspirations, a set of five documents was produced, main among them being the </w:t>
      </w:r>
      <w:proofErr w:type="spellStart"/>
      <w:r w:rsidRPr="005E770B">
        <w:rPr>
          <w:rFonts w:ascii="Times New Roman" w:hAnsi="Times New Roman" w:cs="Times New Roman"/>
          <w:i/>
          <w:iCs/>
          <w:sz w:val="16"/>
          <w:szCs w:val="16"/>
        </w:rPr>
        <w:t>Privilegium</w:t>
      </w:r>
      <w:proofErr w:type="spellEnd"/>
      <w:r w:rsidRPr="005E770B">
        <w:rPr>
          <w:rFonts w:ascii="Times New Roman" w:hAnsi="Times New Roman" w:cs="Times New Roman"/>
          <w:i/>
          <w:iCs/>
          <w:sz w:val="16"/>
          <w:szCs w:val="16"/>
        </w:rPr>
        <w:t xml:space="preserve"> </w:t>
      </w:r>
      <w:proofErr w:type="spellStart"/>
      <w:r w:rsidRPr="005E770B">
        <w:rPr>
          <w:rFonts w:ascii="Times New Roman" w:hAnsi="Times New Roman" w:cs="Times New Roman"/>
          <w:i/>
          <w:iCs/>
          <w:sz w:val="16"/>
          <w:szCs w:val="16"/>
        </w:rPr>
        <w:t>maius</w:t>
      </w:r>
      <w:proofErr w:type="spellEnd"/>
      <w:r w:rsidRPr="005E770B">
        <w:rPr>
          <w:rFonts w:ascii="Times New Roman" w:hAnsi="Times New Roman" w:cs="Times New Roman"/>
          <w:sz w:val="16"/>
          <w:szCs w:val="16"/>
        </w:rPr>
        <w:t xml:space="preserve"> that was elevating the Dukes of Austria among the </w:t>
      </w:r>
      <w:r w:rsidRPr="005E770B">
        <w:rPr>
          <w:rFonts w:ascii="Times New Roman" w:hAnsi="Times New Roman" w:cs="Times New Roman"/>
          <w:i/>
          <w:iCs/>
          <w:sz w:val="16"/>
          <w:szCs w:val="16"/>
        </w:rPr>
        <w:t>Palatine Archdukes</w:t>
      </w:r>
      <w:r w:rsidRPr="005E770B">
        <w:rPr>
          <w:rFonts w:ascii="Times New Roman" w:hAnsi="Times New Roman" w:cs="Times New Roman"/>
          <w:sz w:val="16"/>
          <w:szCs w:val="16"/>
        </w:rPr>
        <w:t xml:space="preserve">, a newly coined term used only once in the document, as an honorary designation, ranking with prince-electors. That formulation thus became the very basis for the title </w:t>
      </w:r>
      <w:r w:rsidRPr="005E770B">
        <w:rPr>
          <w:rFonts w:ascii="Times New Roman" w:hAnsi="Times New Roman" w:cs="Times New Roman"/>
          <w:i/>
          <w:iCs/>
          <w:sz w:val="16"/>
          <w:szCs w:val="16"/>
        </w:rPr>
        <w:t>Archduke of Austria</w:t>
      </w:r>
      <w:r w:rsidRPr="005E770B">
        <w:rPr>
          <w:rFonts w:ascii="Times New Roman" w:hAnsi="Times New Roman" w:cs="Times New Roman"/>
          <w:sz w:val="16"/>
          <w:szCs w:val="16"/>
        </w:rPr>
        <w:t xml:space="preserve">, and the consequent elevation of the Duchy of Austria to the Archduchy of Austria. Emperor Charles IV refused to accept and approve claims from the document, and only in 1453 the </w:t>
      </w:r>
      <w:proofErr w:type="spellStart"/>
      <w:r w:rsidRPr="005E770B">
        <w:rPr>
          <w:rFonts w:ascii="Times New Roman" w:hAnsi="Times New Roman" w:cs="Times New Roman"/>
          <w:i/>
          <w:iCs/>
          <w:sz w:val="16"/>
          <w:szCs w:val="16"/>
        </w:rPr>
        <w:t>Privilegium</w:t>
      </w:r>
      <w:proofErr w:type="spellEnd"/>
      <w:r w:rsidRPr="005E770B">
        <w:rPr>
          <w:rFonts w:ascii="Times New Roman" w:hAnsi="Times New Roman" w:cs="Times New Roman"/>
          <w:i/>
          <w:iCs/>
          <w:sz w:val="16"/>
          <w:szCs w:val="16"/>
        </w:rPr>
        <w:t xml:space="preserve"> </w:t>
      </w:r>
      <w:proofErr w:type="spellStart"/>
      <w:r w:rsidRPr="005E770B">
        <w:rPr>
          <w:rFonts w:ascii="Times New Roman" w:hAnsi="Times New Roman" w:cs="Times New Roman"/>
          <w:i/>
          <w:iCs/>
          <w:sz w:val="16"/>
          <w:szCs w:val="16"/>
        </w:rPr>
        <w:t>maius</w:t>
      </w:r>
      <w:proofErr w:type="spellEnd"/>
      <w:r w:rsidRPr="005E770B">
        <w:rPr>
          <w:rFonts w:ascii="Times New Roman" w:hAnsi="Times New Roman" w:cs="Times New Roman"/>
          <w:sz w:val="16"/>
          <w:szCs w:val="16"/>
        </w:rPr>
        <w:t xml:space="preserve"> was finally confirmed and enacted by Emperor Frederick III, himself a Habsburg.</w:t>
      </w:r>
      <w:r>
        <w:rPr>
          <w:rFonts w:ascii="Times New Roman" w:hAnsi="Times New Roman" w:cs="Times New Roman"/>
          <w:sz w:val="16"/>
          <w:szCs w:val="16"/>
        </w:rPr>
        <w:t xml:space="preserve"> </w:t>
      </w:r>
      <w:r w:rsidRPr="005E770B">
        <w:rPr>
          <w:rFonts w:ascii="Times New Roman" w:hAnsi="Times New Roman" w:cs="Times New Roman"/>
          <w:sz w:val="16"/>
          <w:szCs w:val="16"/>
        </w:rPr>
        <w:t xml:space="preserve">The rights and privileges contained within that document, and also within other four forgeries from the same set, had great influence on the Austrian political landscape, particularly after the 1453 confirmation, and thus created a unique connection between </w:t>
      </w:r>
      <w:r w:rsidRPr="009C11A9">
        <w:rPr>
          <w:rFonts w:ascii="Times New Roman" w:hAnsi="Times New Roman" w:cs="Times New Roman"/>
          <w:sz w:val="16"/>
          <w:szCs w:val="16"/>
        </w:rPr>
        <w:t>Austria</w:t>
      </w:r>
      <w:r w:rsidRPr="005E770B">
        <w:rPr>
          <w:rFonts w:ascii="Times New Roman" w:hAnsi="Times New Roman" w:cs="Times New Roman"/>
          <w:sz w:val="16"/>
          <w:szCs w:val="16"/>
        </w:rPr>
        <w:t xml:space="preserve"> and the ruling House of Habsburg, and the same connection was later continued by the succeeding </w:t>
      </w:r>
      <w:r w:rsidRPr="005E770B">
        <w:rPr>
          <w:rFonts w:ascii="Times New Roman" w:hAnsi="Times New Roman" w:cs="Times New Roman"/>
          <w:b/>
          <w:bCs/>
          <w:sz w:val="16"/>
          <w:szCs w:val="16"/>
        </w:rPr>
        <w:t>House of Habsburg-Lorraine</w:t>
      </w:r>
      <w:r w:rsidRPr="005E770B">
        <w:rPr>
          <w:rFonts w:ascii="Times New Roman" w:hAnsi="Times New Roman" w:cs="Times New Roman"/>
          <w:sz w:val="16"/>
          <w:szCs w:val="16"/>
        </w:rPr>
        <w:t>.</w:t>
      </w:r>
    </w:p>
    <w:p w14:paraId="31C1F595"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78F7145E"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EA7658">
        <w:rPr>
          <w:rFonts w:ascii="Times New Roman" w:hAnsi="Times New Roman" w:cs="Times New Roman"/>
          <w:b/>
          <w:bCs/>
          <w:sz w:val="16"/>
          <w:szCs w:val="16"/>
        </w:rPr>
        <w:t>The Imperial villages</w:t>
      </w:r>
      <w:r>
        <w:rPr>
          <w:rFonts w:ascii="Times New Roman" w:hAnsi="Times New Roman" w:cs="Times New Roman"/>
          <w:b/>
          <w:bCs/>
          <w:sz w:val="16"/>
          <w:szCs w:val="16"/>
        </w:rPr>
        <w:t xml:space="preserve"> </w:t>
      </w:r>
      <w:r w:rsidRPr="00EA7658">
        <w:rPr>
          <w:rFonts w:ascii="Times New Roman" w:hAnsi="Times New Roman" w:cs="Times New Roman"/>
          <w:sz w:val="16"/>
          <w:szCs w:val="16"/>
        </w:rPr>
        <w:t xml:space="preserve">were the smallest component entities of the </w:t>
      </w:r>
      <w:r w:rsidRPr="00FF7BCD">
        <w:rPr>
          <w:rFonts w:ascii="Times New Roman" w:hAnsi="Times New Roman" w:cs="Times New Roman"/>
          <w:sz w:val="16"/>
          <w:szCs w:val="16"/>
        </w:rPr>
        <w:t>Holy Roman Empire</w:t>
      </w:r>
      <w:r w:rsidRPr="00EA7658">
        <w:rPr>
          <w:rFonts w:ascii="Times New Roman" w:hAnsi="Times New Roman" w:cs="Times New Roman"/>
          <w:sz w:val="16"/>
          <w:szCs w:val="16"/>
        </w:rPr>
        <w:t xml:space="preserve">. They possessed </w:t>
      </w:r>
      <w:r w:rsidRPr="00FF7BCD">
        <w:rPr>
          <w:rFonts w:ascii="Times New Roman" w:hAnsi="Times New Roman" w:cs="Times New Roman"/>
          <w:sz w:val="16"/>
          <w:szCs w:val="16"/>
        </w:rPr>
        <w:t>imperial immediacy</w:t>
      </w:r>
      <w:r w:rsidRPr="00EA7658">
        <w:rPr>
          <w:rFonts w:ascii="Times New Roman" w:hAnsi="Times New Roman" w:cs="Times New Roman"/>
          <w:sz w:val="16"/>
          <w:szCs w:val="16"/>
        </w:rPr>
        <w:t xml:space="preserve">, having no lord but the </w:t>
      </w:r>
      <w:r>
        <w:rPr>
          <w:rFonts w:ascii="Times New Roman" w:hAnsi="Times New Roman" w:cs="Times New Roman"/>
          <w:sz w:val="16"/>
          <w:szCs w:val="16"/>
        </w:rPr>
        <w:t xml:space="preserve">Holy Roman </w:t>
      </w:r>
      <w:r w:rsidRPr="00FF7BCD">
        <w:rPr>
          <w:rFonts w:ascii="Times New Roman" w:hAnsi="Times New Roman" w:cs="Times New Roman"/>
          <w:sz w:val="16"/>
          <w:szCs w:val="16"/>
        </w:rPr>
        <w:t>Emperor</w:t>
      </w:r>
      <w:r w:rsidRPr="00EA7658">
        <w:rPr>
          <w:rFonts w:ascii="Times New Roman" w:hAnsi="Times New Roman" w:cs="Times New Roman"/>
          <w:sz w:val="16"/>
          <w:szCs w:val="16"/>
        </w:rPr>
        <w:t xml:space="preserve">, but were not </w:t>
      </w:r>
      <w:r>
        <w:rPr>
          <w:rFonts w:ascii="Times New Roman" w:hAnsi="Times New Roman" w:cs="Times New Roman"/>
          <w:sz w:val="16"/>
          <w:szCs w:val="16"/>
        </w:rPr>
        <w:t xml:space="preserve">Imperial </w:t>
      </w:r>
      <w:r w:rsidRPr="00FF7BCD">
        <w:rPr>
          <w:rFonts w:ascii="Times New Roman" w:hAnsi="Times New Roman" w:cs="Times New Roman"/>
          <w:sz w:val="16"/>
          <w:szCs w:val="16"/>
        </w:rPr>
        <w:t>estates</w:t>
      </w:r>
      <w:r w:rsidRPr="00EA7658">
        <w:rPr>
          <w:rFonts w:ascii="Times New Roman" w:hAnsi="Times New Roman" w:cs="Times New Roman"/>
          <w:sz w:val="16"/>
          <w:szCs w:val="16"/>
        </w:rPr>
        <w:t xml:space="preserve">. They were </w:t>
      </w:r>
      <w:proofErr w:type="spellStart"/>
      <w:r w:rsidRPr="00FF7BCD">
        <w:rPr>
          <w:rFonts w:ascii="Times New Roman" w:hAnsi="Times New Roman" w:cs="Times New Roman"/>
          <w:sz w:val="16"/>
          <w:szCs w:val="16"/>
        </w:rPr>
        <w:t>unencircled</w:t>
      </w:r>
      <w:proofErr w:type="spellEnd"/>
      <w:r w:rsidRPr="00EA7658">
        <w:rPr>
          <w:rFonts w:ascii="Times New Roman" w:hAnsi="Times New Roman" w:cs="Times New Roman"/>
          <w:sz w:val="16"/>
          <w:szCs w:val="16"/>
        </w:rPr>
        <w:t xml:space="preserve"> and did not have representation in the </w:t>
      </w:r>
      <w:r w:rsidRPr="00FF7BCD">
        <w:rPr>
          <w:rFonts w:ascii="Times New Roman" w:hAnsi="Times New Roman" w:cs="Times New Roman"/>
          <w:sz w:val="16"/>
          <w:szCs w:val="16"/>
        </w:rPr>
        <w:t>Imperial Diet</w:t>
      </w:r>
      <w:r>
        <w:rPr>
          <w:rFonts w:ascii="Times New Roman" w:hAnsi="Times New Roman" w:cs="Times New Roman"/>
          <w:sz w:val="16"/>
          <w:szCs w:val="16"/>
        </w:rPr>
        <w:t xml:space="preserve"> or assembly</w:t>
      </w:r>
      <w:r w:rsidRPr="00EA7658">
        <w:rPr>
          <w:rFonts w:ascii="Times New Roman" w:hAnsi="Times New Roman" w:cs="Times New Roman"/>
          <w:sz w:val="16"/>
          <w:szCs w:val="16"/>
        </w:rPr>
        <w:t xml:space="preserve">. In all these respects they were </w:t>
      </w:r>
      <w:proofErr w:type="gramStart"/>
      <w:r w:rsidRPr="00EA7658">
        <w:rPr>
          <w:rFonts w:ascii="Times New Roman" w:hAnsi="Times New Roman" w:cs="Times New Roman"/>
          <w:sz w:val="16"/>
          <w:szCs w:val="16"/>
        </w:rPr>
        <w:t>similar to</w:t>
      </w:r>
      <w:proofErr w:type="gramEnd"/>
      <w:r w:rsidRPr="00EA7658">
        <w:rPr>
          <w:rFonts w:ascii="Times New Roman" w:hAnsi="Times New Roman" w:cs="Times New Roman"/>
          <w:sz w:val="16"/>
          <w:szCs w:val="16"/>
        </w:rPr>
        <w:t xml:space="preserve"> the </w:t>
      </w:r>
      <w:r w:rsidRPr="00FF7BCD">
        <w:rPr>
          <w:rFonts w:ascii="Times New Roman" w:hAnsi="Times New Roman" w:cs="Times New Roman"/>
          <w:sz w:val="16"/>
          <w:szCs w:val="16"/>
        </w:rPr>
        <w:t>Imperial Knights</w:t>
      </w:r>
      <w:r w:rsidRPr="00EA7658">
        <w:rPr>
          <w:rFonts w:ascii="Times New Roman" w:hAnsi="Times New Roman" w:cs="Times New Roman"/>
          <w:sz w:val="16"/>
          <w:szCs w:val="16"/>
        </w:rPr>
        <w:t xml:space="preserve">; the inhabitants of imperial villages were free men </w:t>
      </w:r>
      <w:r>
        <w:rPr>
          <w:rFonts w:ascii="Times New Roman" w:hAnsi="Times New Roman" w:cs="Times New Roman"/>
          <w:sz w:val="16"/>
          <w:szCs w:val="16"/>
        </w:rPr>
        <w:t>who are</w:t>
      </w:r>
      <w:r w:rsidRPr="00EA7658">
        <w:rPr>
          <w:rFonts w:ascii="Times New Roman" w:hAnsi="Times New Roman" w:cs="Times New Roman"/>
          <w:sz w:val="16"/>
          <w:szCs w:val="16"/>
        </w:rPr>
        <w:t xml:space="preserve"> not </w:t>
      </w:r>
      <w:r w:rsidRPr="00FF7BCD">
        <w:rPr>
          <w:rFonts w:ascii="Times New Roman" w:hAnsi="Times New Roman" w:cs="Times New Roman"/>
          <w:sz w:val="16"/>
          <w:szCs w:val="16"/>
        </w:rPr>
        <w:t>serfs</w:t>
      </w:r>
      <w:r w:rsidRPr="00EA7658">
        <w:rPr>
          <w:rFonts w:ascii="Times New Roman" w:hAnsi="Times New Roman" w:cs="Times New Roman"/>
          <w:sz w:val="16"/>
          <w:szCs w:val="16"/>
        </w:rPr>
        <w:t xml:space="preserve"> or similar </w:t>
      </w:r>
      <w:r w:rsidRPr="00FF7BCD">
        <w:rPr>
          <w:rFonts w:ascii="Times New Roman" w:hAnsi="Times New Roman" w:cs="Times New Roman"/>
          <w:sz w:val="16"/>
          <w:szCs w:val="16"/>
        </w:rPr>
        <w:t>feudal</w:t>
      </w:r>
      <w:r w:rsidRPr="00EA7658">
        <w:rPr>
          <w:rFonts w:ascii="Times New Roman" w:hAnsi="Times New Roman" w:cs="Times New Roman"/>
          <w:sz w:val="16"/>
          <w:szCs w:val="16"/>
        </w:rPr>
        <w:t xml:space="preserve"> status</w:t>
      </w:r>
      <w:r>
        <w:rPr>
          <w:rFonts w:ascii="Times New Roman" w:hAnsi="Times New Roman" w:cs="Times New Roman"/>
          <w:sz w:val="16"/>
          <w:szCs w:val="16"/>
        </w:rPr>
        <w:t xml:space="preserve">. </w:t>
      </w:r>
      <w:r w:rsidRPr="00EA7658">
        <w:rPr>
          <w:rFonts w:ascii="Times New Roman" w:hAnsi="Times New Roman" w:cs="Times New Roman"/>
          <w:sz w:val="16"/>
          <w:szCs w:val="16"/>
        </w:rPr>
        <w:t xml:space="preserve">The imperial villages—relics of the </w:t>
      </w:r>
      <w:r w:rsidRPr="00FF7BCD">
        <w:rPr>
          <w:rFonts w:ascii="Times New Roman" w:hAnsi="Times New Roman" w:cs="Times New Roman"/>
          <w:sz w:val="16"/>
          <w:szCs w:val="16"/>
        </w:rPr>
        <w:t>royal demesne</w:t>
      </w:r>
      <w:r w:rsidRPr="00EA7658">
        <w:rPr>
          <w:rFonts w:ascii="Times New Roman" w:hAnsi="Times New Roman" w:cs="Times New Roman"/>
          <w:sz w:val="16"/>
          <w:szCs w:val="16"/>
        </w:rPr>
        <w:t xml:space="preserve"> during the era of the </w:t>
      </w:r>
      <w:r w:rsidRPr="00FF7BCD">
        <w:rPr>
          <w:rFonts w:ascii="Times New Roman" w:hAnsi="Times New Roman" w:cs="Times New Roman"/>
          <w:sz w:val="16"/>
          <w:szCs w:val="16"/>
        </w:rPr>
        <w:t>Hohenstaufen</w:t>
      </w:r>
      <w:r w:rsidRPr="00EA7658">
        <w:rPr>
          <w:rFonts w:ascii="Times New Roman" w:hAnsi="Times New Roman" w:cs="Times New Roman"/>
          <w:sz w:val="16"/>
          <w:szCs w:val="16"/>
        </w:rPr>
        <w:t xml:space="preserve">—were all located in southern and western </w:t>
      </w:r>
      <w:r>
        <w:rPr>
          <w:rFonts w:ascii="Times New Roman" w:hAnsi="Times New Roman" w:cs="Times New Roman"/>
          <w:sz w:val="16"/>
          <w:szCs w:val="16"/>
        </w:rPr>
        <w:t xml:space="preserve">Kingdom of </w:t>
      </w:r>
      <w:r w:rsidRPr="00FF7BCD">
        <w:rPr>
          <w:rFonts w:ascii="Times New Roman" w:hAnsi="Times New Roman" w:cs="Times New Roman"/>
          <w:sz w:val="16"/>
          <w:szCs w:val="16"/>
        </w:rPr>
        <w:t>Germany</w:t>
      </w:r>
      <w:r w:rsidRPr="00EA7658">
        <w:rPr>
          <w:rFonts w:ascii="Times New Roman" w:hAnsi="Times New Roman" w:cs="Times New Roman"/>
          <w:sz w:val="16"/>
          <w:szCs w:val="16"/>
        </w:rPr>
        <w:t xml:space="preserve"> and in </w:t>
      </w:r>
      <w:r w:rsidRPr="00FF7BCD">
        <w:rPr>
          <w:rFonts w:ascii="Times New Roman" w:hAnsi="Times New Roman" w:cs="Times New Roman"/>
          <w:sz w:val="16"/>
          <w:szCs w:val="16"/>
        </w:rPr>
        <w:t>Alsace</w:t>
      </w:r>
      <w:r w:rsidRPr="00EA7658">
        <w:rPr>
          <w:rFonts w:ascii="Times New Roman" w:hAnsi="Times New Roman" w:cs="Times New Roman"/>
          <w:sz w:val="16"/>
          <w:szCs w:val="16"/>
        </w:rPr>
        <w:t xml:space="preserve">. Originally there were 120 villages, but this number was greatly reduced during the </w:t>
      </w:r>
      <w:r w:rsidRPr="00FF7BCD">
        <w:rPr>
          <w:rFonts w:ascii="Times New Roman" w:hAnsi="Times New Roman" w:cs="Times New Roman"/>
          <w:sz w:val="16"/>
          <w:szCs w:val="16"/>
        </w:rPr>
        <w:t>early modern period</w:t>
      </w:r>
      <w:r w:rsidRPr="00EA7658">
        <w:rPr>
          <w:rFonts w:ascii="Times New Roman" w:hAnsi="Times New Roman" w:cs="Times New Roman"/>
          <w:sz w:val="16"/>
          <w:szCs w:val="16"/>
        </w:rPr>
        <w:t xml:space="preserve">. At the </w:t>
      </w:r>
      <w:r w:rsidRPr="00FF7BCD">
        <w:rPr>
          <w:rFonts w:ascii="Times New Roman" w:hAnsi="Times New Roman" w:cs="Times New Roman"/>
          <w:sz w:val="16"/>
          <w:szCs w:val="16"/>
        </w:rPr>
        <w:t>Peace of Westphalia</w:t>
      </w:r>
      <w:r w:rsidRPr="00EA7658">
        <w:rPr>
          <w:rFonts w:ascii="Times New Roman" w:hAnsi="Times New Roman" w:cs="Times New Roman"/>
          <w:sz w:val="16"/>
          <w:szCs w:val="16"/>
        </w:rPr>
        <w:t xml:space="preserve"> in 1648, forty imperial villages in Alsace passed to </w:t>
      </w:r>
      <w:r>
        <w:rPr>
          <w:rFonts w:ascii="Times New Roman" w:hAnsi="Times New Roman" w:cs="Times New Roman"/>
          <w:sz w:val="16"/>
          <w:szCs w:val="16"/>
        </w:rPr>
        <w:t xml:space="preserve">the Kingdom of </w:t>
      </w:r>
      <w:r w:rsidRPr="00FF7BCD">
        <w:rPr>
          <w:rFonts w:ascii="Times New Roman" w:hAnsi="Times New Roman" w:cs="Times New Roman"/>
          <w:sz w:val="16"/>
          <w:szCs w:val="16"/>
        </w:rPr>
        <w:t>France</w:t>
      </w:r>
      <w:r w:rsidRPr="00EA7658">
        <w:rPr>
          <w:rFonts w:ascii="Times New Roman" w:hAnsi="Times New Roman" w:cs="Times New Roman"/>
          <w:sz w:val="16"/>
          <w:szCs w:val="16"/>
        </w:rPr>
        <w:t xml:space="preserve">. In this Alsatian group were several even smaller entities known as </w:t>
      </w:r>
      <w:r w:rsidRPr="00FF7BCD">
        <w:rPr>
          <w:rFonts w:ascii="Times New Roman" w:hAnsi="Times New Roman" w:cs="Times New Roman"/>
          <w:sz w:val="16"/>
          <w:szCs w:val="16"/>
        </w:rPr>
        <w:t>imperial hamlets</w:t>
      </w:r>
      <w:r w:rsidRPr="00EA7658">
        <w:rPr>
          <w:rFonts w:ascii="Times New Roman" w:hAnsi="Times New Roman" w:cs="Times New Roman"/>
          <w:sz w:val="16"/>
          <w:szCs w:val="16"/>
        </w:rPr>
        <w:t xml:space="preserve"> (</w:t>
      </w:r>
      <w:proofErr w:type="spellStart"/>
      <w:r w:rsidRPr="00EA7658">
        <w:rPr>
          <w:rFonts w:ascii="Times New Roman" w:hAnsi="Times New Roman" w:cs="Times New Roman"/>
          <w:i/>
          <w:iCs/>
          <w:sz w:val="16"/>
          <w:szCs w:val="16"/>
        </w:rPr>
        <w:t>Reichsweiler</w:t>
      </w:r>
      <w:proofErr w:type="spellEnd"/>
      <w:r w:rsidRPr="00EA7658">
        <w:rPr>
          <w:rFonts w:ascii="Times New Roman" w:hAnsi="Times New Roman" w:cs="Times New Roman"/>
          <w:sz w:val="16"/>
          <w:szCs w:val="16"/>
        </w:rPr>
        <w:t>).</w:t>
      </w:r>
    </w:p>
    <w:p w14:paraId="39D53FAD"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44F8AE7B"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EA7658">
        <w:rPr>
          <w:rFonts w:ascii="Times New Roman" w:hAnsi="Times New Roman" w:cs="Times New Roman"/>
          <w:sz w:val="16"/>
          <w:szCs w:val="16"/>
        </w:rPr>
        <w:t xml:space="preserve">At the time of the </w:t>
      </w:r>
      <w:proofErr w:type="spellStart"/>
      <w:r w:rsidRPr="00FF7BCD">
        <w:rPr>
          <w:rFonts w:ascii="Times New Roman" w:hAnsi="Times New Roman" w:cs="Times New Roman"/>
          <w:i/>
          <w:iCs/>
          <w:sz w:val="16"/>
          <w:szCs w:val="16"/>
        </w:rPr>
        <w:t>Reichsdeputationshauptschluss</w:t>
      </w:r>
      <w:proofErr w:type="spellEnd"/>
      <w:r>
        <w:rPr>
          <w:rFonts w:ascii="Times New Roman" w:hAnsi="Times New Roman" w:cs="Times New Roman"/>
          <w:sz w:val="16"/>
          <w:szCs w:val="16"/>
        </w:rPr>
        <w:t xml:space="preserve"> </w:t>
      </w:r>
      <w:r w:rsidRPr="00EA7658">
        <w:rPr>
          <w:rFonts w:ascii="Times New Roman" w:hAnsi="Times New Roman" w:cs="Times New Roman"/>
          <w:sz w:val="16"/>
          <w:szCs w:val="16"/>
        </w:rPr>
        <w:t>or "Principal Conclusion of the Extraordinary Imperial Delegation"</w:t>
      </w:r>
      <w:hyperlink r:id="rId10" w:anchor="cite_note-1" w:history="1"/>
      <w:r>
        <w:rPr>
          <w:rFonts w:ascii="Times New Roman" w:hAnsi="Times New Roman" w:cs="Times New Roman"/>
          <w:sz w:val="16"/>
          <w:szCs w:val="16"/>
        </w:rPr>
        <w:t xml:space="preserve">, </w:t>
      </w:r>
      <w:r w:rsidRPr="00EA7658">
        <w:rPr>
          <w:rFonts w:ascii="Times New Roman" w:hAnsi="Times New Roman" w:cs="Times New Roman"/>
          <w:sz w:val="16"/>
          <w:szCs w:val="16"/>
        </w:rPr>
        <w:t xml:space="preserve">the final Imperial reform in 1803, only five imperial villages remained: </w:t>
      </w:r>
      <w:proofErr w:type="spellStart"/>
      <w:r w:rsidRPr="00FF7BCD">
        <w:rPr>
          <w:rFonts w:ascii="Times New Roman" w:hAnsi="Times New Roman" w:cs="Times New Roman"/>
          <w:sz w:val="16"/>
          <w:szCs w:val="16"/>
        </w:rPr>
        <w:t>Gochsheim</w:t>
      </w:r>
      <w:proofErr w:type="spellEnd"/>
      <w:r w:rsidRPr="00EA7658">
        <w:rPr>
          <w:rFonts w:ascii="Times New Roman" w:hAnsi="Times New Roman" w:cs="Times New Roman"/>
          <w:sz w:val="16"/>
          <w:szCs w:val="16"/>
        </w:rPr>
        <w:t xml:space="preserve">, </w:t>
      </w:r>
      <w:proofErr w:type="spellStart"/>
      <w:r w:rsidRPr="00FF7BCD">
        <w:rPr>
          <w:rFonts w:ascii="Times New Roman" w:hAnsi="Times New Roman" w:cs="Times New Roman"/>
          <w:sz w:val="16"/>
          <w:szCs w:val="16"/>
        </w:rPr>
        <w:t>Sennfeld</w:t>
      </w:r>
      <w:proofErr w:type="spellEnd"/>
      <w:r w:rsidRPr="00EA7658">
        <w:rPr>
          <w:rFonts w:ascii="Times New Roman" w:hAnsi="Times New Roman" w:cs="Times New Roman"/>
          <w:sz w:val="16"/>
          <w:szCs w:val="16"/>
        </w:rPr>
        <w:t xml:space="preserve">, </w:t>
      </w:r>
      <w:r w:rsidRPr="00FF7BCD">
        <w:rPr>
          <w:rFonts w:ascii="Times New Roman" w:hAnsi="Times New Roman" w:cs="Times New Roman"/>
          <w:sz w:val="16"/>
          <w:szCs w:val="16"/>
        </w:rPr>
        <w:t>Holzhausen</w:t>
      </w:r>
      <w:r w:rsidRPr="00EA7658">
        <w:rPr>
          <w:rFonts w:ascii="Times New Roman" w:hAnsi="Times New Roman" w:cs="Times New Roman"/>
          <w:sz w:val="16"/>
          <w:szCs w:val="16"/>
        </w:rPr>
        <w:t>,</w:t>
      </w:r>
      <w:r>
        <w:rPr>
          <w:rFonts w:ascii="Times New Roman" w:hAnsi="Times New Roman" w:cs="Times New Roman"/>
          <w:sz w:val="16"/>
          <w:szCs w:val="16"/>
        </w:rPr>
        <w:t xml:space="preserve"> Bad</w:t>
      </w:r>
      <w:r w:rsidRPr="00EA7658">
        <w:rPr>
          <w:rFonts w:ascii="Times New Roman" w:hAnsi="Times New Roman" w:cs="Times New Roman"/>
          <w:sz w:val="16"/>
          <w:szCs w:val="16"/>
        </w:rPr>
        <w:t xml:space="preserve"> </w:t>
      </w:r>
      <w:r w:rsidRPr="00FF7BCD">
        <w:rPr>
          <w:rFonts w:ascii="Times New Roman" w:hAnsi="Times New Roman" w:cs="Times New Roman"/>
          <w:sz w:val="16"/>
          <w:szCs w:val="16"/>
        </w:rPr>
        <w:t>Soden</w:t>
      </w:r>
      <w:r w:rsidRPr="00EA7658">
        <w:rPr>
          <w:rFonts w:ascii="Times New Roman" w:hAnsi="Times New Roman" w:cs="Times New Roman"/>
          <w:sz w:val="16"/>
          <w:szCs w:val="16"/>
        </w:rPr>
        <w:t xml:space="preserve"> and </w:t>
      </w:r>
      <w:r w:rsidRPr="00FF7BCD">
        <w:rPr>
          <w:rFonts w:ascii="Times New Roman" w:hAnsi="Times New Roman" w:cs="Times New Roman"/>
          <w:sz w:val="16"/>
          <w:szCs w:val="16"/>
        </w:rPr>
        <w:t>Sulzbach</w:t>
      </w:r>
      <w:r>
        <w:rPr>
          <w:rFonts w:ascii="Times New Roman" w:hAnsi="Times New Roman" w:cs="Times New Roman"/>
          <w:sz w:val="16"/>
          <w:szCs w:val="16"/>
        </w:rPr>
        <w:t>, Hesse</w:t>
      </w:r>
      <w:r w:rsidRPr="00EA7658">
        <w:rPr>
          <w:rFonts w:ascii="Times New Roman" w:hAnsi="Times New Roman" w:cs="Times New Roman"/>
          <w:sz w:val="16"/>
          <w:szCs w:val="16"/>
        </w:rPr>
        <w:t xml:space="preserve">. Holzhausen was a </w:t>
      </w:r>
      <w:r w:rsidRPr="007E2E68">
        <w:rPr>
          <w:rFonts w:ascii="Times New Roman" w:hAnsi="Times New Roman" w:cs="Times New Roman"/>
          <w:b/>
          <w:bCs/>
          <w:i/>
          <w:iCs/>
          <w:sz w:val="16"/>
          <w:szCs w:val="16"/>
        </w:rPr>
        <w:t>condominium</w:t>
      </w:r>
      <w:r w:rsidRPr="00EA7658">
        <w:rPr>
          <w:rFonts w:ascii="Times New Roman" w:hAnsi="Times New Roman" w:cs="Times New Roman"/>
          <w:sz w:val="16"/>
          <w:szCs w:val="16"/>
        </w:rPr>
        <w:t xml:space="preserve"> village, two thirds of which was immediate to the</w:t>
      </w:r>
      <w:r>
        <w:rPr>
          <w:rFonts w:ascii="Times New Roman" w:hAnsi="Times New Roman" w:cs="Times New Roman"/>
          <w:sz w:val="16"/>
          <w:szCs w:val="16"/>
        </w:rPr>
        <w:t xml:space="preserve"> Holy Roman</w:t>
      </w:r>
      <w:r w:rsidRPr="00EA7658">
        <w:rPr>
          <w:rFonts w:ascii="Times New Roman" w:hAnsi="Times New Roman" w:cs="Times New Roman"/>
          <w:sz w:val="16"/>
          <w:szCs w:val="16"/>
        </w:rPr>
        <w:t xml:space="preserve"> Emperor and the remaining third subject to various landlords. </w:t>
      </w:r>
    </w:p>
    <w:p w14:paraId="134A8E56" w14:textId="77777777" w:rsidR="00FA66A2" w:rsidRPr="007E2E68"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2E433111" w14:textId="77777777" w:rsidR="00FA66A2" w:rsidRDefault="00FA66A2" w:rsidP="00FA66A2">
      <w:pPr>
        <w:pStyle w:val="ListParagraph"/>
        <w:autoSpaceDE w:val="0"/>
        <w:autoSpaceDN w:val="0"/>
        <w:adjustRightInd w:val="0"/>
        <w:spacing w:after="0"/>
        <w:ind w:left="355"/>
        <w:rPr>
          <w:rFonts w:ascii="Times New Roman" w:hAnsi="Times New Roman" w:cs="Times New Roman"/>
          <w:b/>
          <w:bCs/>
          <w:sz w:val="16"/>
          <w:szCs w:val="16"/>
        </w:rPr>
      </w:pPr>
      <w:r w:rsidRPr="007E2E68">
        <w:rPr>
          <w:rFonts w:ascii="Times New Roman" w:hAnsi="Times New Roman" w:cs="Times New Roman"/>
          <w:sz w:val="16"/>
          <w:szCs w:val="16"/>
        </w:rPr>
        <w:t xml:space="preserve">Condominium is an invented Latin word formed by adding the prefix con- 'together' to the word dominium 'dominion, ownership'. Its meaning is, therefore, </w:t>
      </w:r>
      <w:r w:rsidRPr="007E2E68">
        <w:rPr>
          <w:rFonts w:ascii="Times New Roman" w:hAnsi="Times New Roman" w:cs="Times New Roman"/>
          <w:b/>
          <w:bCs/>
          <w:sz w:val="16"/>
          <w:szCs w:val="16"/>
        </w:rPr>
        <w:t>'joint dominion'</w:t>
      </w:r>
      <w:r w:rsidRPr="007E2E68">
        <w:rPr>
          <w:rFonts w:ascii="Times New Roman" w:hAnsi="Times New Roman" w:cs="Times New Roman"/>
          <w:sz w:val="16"/>
          <w:szCs w:val="16"/>
        </w:rPr>
        <w:t xml:space="preserve"> or </w:t>
      </w:r>
      <w:r w:rsidRPr="007E2E68">
        <w:rPr>
          <w:rFonts w:ascii="Times New Roman" w:hAnsi="Times New Roman" w:cs="Times New Roman"/>
          <w:b/>
          <w:bCs/>
          <w:sz w:val="16"/>
          <w:szCs w:val="16"/>
        </w:rPr>
        <w:t>'co-ownership'.</w:t>
      </w:r>
      <w:r>
        <w:rPr>
          <w:rFonts w:ascii="Times New Roman" w:hAnsi="Times New Roman" w:cs="Times New Roman"/>
          <w:b/>
          <w:bCs/>
          <w:sz w:val="16"/>
          <w:szCs w:val="16"/>
        </w:rPr>
        <w:t xml:space="preserve"> </w:t>
      </w:r>
    </w:p>
    <w:p w14:paraId="62BE1903" w14:textId="77777777" w:rsidR="00FA66A2" w:rsidRPr="007E2E68" w:rsidRDefault="00FA66A2" w:rsidP="00FA66A2">
      <w:pPr>
        <w:pStyle w:val="ListParagraph"/>
        <w:autoSpaceDE w:val="0"/>
        <w:autoSpaceDN w:val="0"/>
        <w:adjustRightInd w:val="0"/>
        <w:spacing w:after="0"/>
        <w:ind w:left="355"/>
        <w:rPr>
          <w:rFonts w:ascii="Times New Roman" w:hAnsi="Times New Roman" w:cs="Times New Roman"/>
          <w:b/>
          <w:bCs/>
          <w:sz w:val="8"/>
          <w:szCs w:val="8"/>
        </w:rPr>
      </w:pPr>
    </w:p>
    <w:p w14:paraId="31D27F01" w14:textId="77777777" w:rsidR="00FA66A2" w:rsidRPr="007E2E68" w:rsidRDefault="00FA66A2" w:rsidP="00FA66A2">
      <w:pPr>
        <w:pStyle w:val="ListParagraph"/>
        <w:autoSpaceDE w:val="0"/>
        <w:autoSpaceDN w:val="0"/>
        <w:adjustRightInd w:val="0"/>
        <w:spacing w:after="0"/>
        <w:ind w:left="355"/>
        <w:rPr>
          <w:rFonts w:ascii="Times New Roman" w:hAnsi="Times New Roman" w:cs="Times New Roman"/>
          <w:sz w:val="16"/>
          <w:szCs w:val="16"/>
        </w:rPr>
      </w:pPr>
      <w:proofErr w:type="spellStart"/>
      <w:r w:rsidRPr="007E2E68">
        <w:rPr>
          <w:rFonts w:ascii="Times New Roman" w:hAnsi="Times New Roman" w:cs="Times New Roman"/>
          <w:i/>
          <w:iCs/>
          <w:sz w:val="16"/>
          <w:szCs w:val="16"/>
        </w:rPr>
        <w:t>Condominia</w:t>
      </w:r>
      <w:proofErr w:type="spellEnd"/>
      <w:r w:rsidRPr="007E2E68">
        <w:rPr>
          <w:rFonts w:ascii="Times New Roman" w:hAnsi="Times New Roman" w:cs="Times New Roman"/>
          <w:sz w:val="16"/>
          <w:szCs w:val="16"/>
        </w:rPr>
        <w:t xml:space="preserve"> (the Latin plural of </w:t>
      </w:r>
      <w:r w:rsidRPr="007E2E68">
        <w:rPr>
          <w:rFonts w:ascii="Times New Roman" w:hAnsi="Times New Roman" w:cs="Times New Roman"/>
          <w:i/>
          <w:iCs/>
          <w:sz w:val="16"/>
          <w:szCs w:val="16"/>
        </w:rPr>
        <w:t>condominium</w:t>
      </w:r>
      <w:r w:rsidRPr="007E2E68">
        <w:rPr>
          <w:rFonts w:ascii="Times New Roman" w:hAnsi="Times New Roman" w:cs="Times New Roman"/>
          <w:sz w:val="16"/>
          <w:szCs w:val="16"/>
        </w:rPr>
        <w:t>) originally referred to territories over which two or more sovereign powers shared joint sovereignty. This technique was frequently used to settle border disputes when multiple claimants could not agree on how to partition the disputed territory. For example, from 1818 to 1846, Oregon Country was a condominium over which both the United States and Great Britain shared joint sovereignty until the Oregon Treaty resolved the issue by splitting the territory along the 49th parallel and each country gaining sole sovereignty of one side</w:t>
      </w:r>
    </w:p>
    <w:p w14:paraId="735F06F4" w14:textId="77777777" w:rsidR="00FA66A2" w:rsidRPr="00FF7BCD"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1F9AA452"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EA7658">
        <w:rPr>
          <w:rFonts w:ascii="Times New Roman" w:hAnsi="Times New Roman" w:cs="Times New Roman"/>
          <w:sz w:val="16"/>
          <w:szCs w:val="16"/>
        </w:rPr>
        <w:t xml:space="preserve">In addition, the Free Men of the </w:t>
      </w:r>
      <w:proofErr w:type="spellStart"/>
      <w:r w:rsidRPr="00FF7BCD">
        <w:rPr>
          <w:rFonts w:ascii="Times New Roman" w:hAnsi="Times New Roman" w:cs="Times New Roman"/>
          <w:sz w:val="16"/>
          <w:szCs w:val="16"/>
        </w:rPr>
        <w:t>Leutkircher</w:t>
      </w:r>
      <w:proofErr w:type="spellEnd"/>
      <w:r w:rsidRPr="00FF7BCD">
        <w:rPr>
          <w:rFonts w:ascii="Times New Roman" w:hAnsi="Times New Roman" w:cs="Times New Roman"/>
          <w:sz w:val="16"/>
          <w:szCs w:val="16"/>
        </w:rPr>
        <w:t xml:space="preserve"> Heath</w:t>
      </w:r>
      <w:r w:rsidRPr="00EA7658">
        <w:rPr>
          <w:rFonts w:ascii="Times New Roman" w:hAnsi="Times New Roman" w:cs="Times New Roman"/>
          <w:sz w:val="16"/>
          <w:szCs w:val="16"/>
        </w:rPr>
        <w:t xml:space="preserve"> in the </w:t>
      </w:r>
      <w:proofErr w:type="spellStart"/>
      <w:r w:rsidRPr="00FF7BCD">
        <w:rPr>
          <w:rFonts w:ascii="Times New Roman" w:hAnsi="Times New Roman" w:cs="Times New Roman"/>
          <w:sz w:val="16"/>
          <w:szCs w:val="16"/>
        </w:rPr>
        <w:t>Allgäu</w:t>
      </w:r>
      <w:proofErr w:type="spellEnd"/>
      <w:r w:rsidRPr="00EA7658">
        <w:rPr>
          <w:rFonts w:ascii="Times New Roman" w:hAnsi="Times New Roman" w:cs="Times New Roman"/>
          <w:sz w:val="16"/>
          <w:szCs w:val="16"/>
        </w:rPr>
        <w:t xml:space="preserve"> constituted a free peasant republic often counted among the imperial villages. Although constitutionally the smallest entities of the Empire, the size of an imperial village varied. Territory of the Free Men of the </w:t>
      </w:r>
      <w:proofErr w:type="spellStart"/>
      <w:r w:rsidRPr="00EA7658">
        <w:rPr>
          <w:rFonts w:ascii="Times New Roman" w:hAnsi="Times New Roman" w:cs="Times New Roman"/>
          <w:sz w:val="16"/>
          <w:szCs w:val="16"/>
        </w:rPr>
        <w:t>Leutkircher</w:t>
      </w:r>
      <w:proofErr w:type="spellEnd"/>
      <w:r w:rsidRPr="00EA7658">
        <w:rPr>
          <w:rFonts w:ascii="Times New Roman" w:hAnsi="Times New Roman" w:cs="Times New Roman"/>
          <w:sz w:val="16"/>
          <w:szCs w:val="16"/>
        </w:rPr>
        <w:t xml:space="preserve"> Heath surrounded the </w:t>
      </w:r>
      <w:r w:rsidRPr="00FF7BCD">
        <w:rPr>
          <w:rFonts w:ascii="Times New Roman" w:hAnsi="Times New Roman" w:cs="Times New Roman"/>
          <w:sz w:val="16"/>
          <w:szCs w:val="16"/>
        </w:rPr>
        <w:t xml:space="preserve">Imperial City of </w:t>
      </w:r>
      <w:proofErr w:type="spellStart"/>
      <w:r w:rsidRPr="00FF7BCD">
        <w:rPr>
          <w:rFonts w:ascii="Times New Roman" w:hAnsi="Times New Roman" w:cs="Times New Roman"/>
          <w:sz w:val="16"/>
          <w:szCs w:val="16"/>
        </w:rPr>
        <w:t>Leutkirch</w:t>
      </w:r>
      <w:proofErr w:type="spellEnd"/>
      <w:r w:rsidRPr="00EA7658">
        <w:rPr>
          <w:rFonts w:ascii="Times New Roman" w:hAnsi="Times New Roman" w:cs="Times New Roman"/>
          <w:sz w:val="16"/>
          <w:szCs w:val="16"/>
        </w:rPr>
        <w:t xml:space="preserve"> on three </w:t>
      </w:r>
      <w:proofErr w:type="gramStart"/>
      <w:r w:rsidRPr="00EA7658">
        <w:rPr>
          <w:rFonts w:ascii="Times New Roman" w:hAnsi="Times New Roman" w:cs="Times New Roman"/>
          <w:sz w:val="16"/>
          <w:szCs w:val="16"/>
        </w:rPr>
        <w:t>sides</w:t>
      </w:r>
      <w:proofErr w:type="gramEnd"/>
      <w:r w:rsidRPr="00EA7658">
        <w:rPr>
          <w:rFonts w:ascii="Times New Roman" w:hAnsi="Times New Roman" w:cs="Times New Roman"/>
          <w:sz w:val="16"/>
          <w:szCs w:val="16"/>
        </w:rPr>
        <w:t xml:space="preserve"> and its area was nearly four times as large.</w:t>
      </w:r>
    </w:p>
    <w:p w14:paraId="0A9EA400"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03064F0C"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EA7658">
        <w:rPr>
          <w:rFonts w:ascii="Times New Roman" w:hAnsi="Times New Roman" w:cs="Times New Roman"/>
          <w:sz w:val="16"/>
          <w:szCs w:val="16"/>
        </w:rPr>
        <w:t>These villages had preserved their rights of justice and their free status for centuries without force of arms, a "testimony to the progressive '</w:t>
      </w:r>
      <w:proofErr w:type="spellStart"/>
      <w:r w:rsidRPr="00EA7658">
        <w:rPr>
          <w:rFonts w:ascii="Times New Roman" w:hAnsi="Times New Roman" w:cs="Times New Roman"/>
          <w:sz w:val="16"/>
          <w:szCs w:val="16"/>
        </w:rPr>
        <w:t>juridification</w:t>
      </w:r>
      <w:proofErr w:type="spellEnd"/>
      <w:r w:rsidRPr="00EA7658">
        <w:rPr>
          <w:rFonts w:ascii="Times New Roman" w:hAnsi="Times New Roman" w:cs="Times New Roman"/>
          <w:sz w:val="16"/>
          <w:szCs w:val="16"/>
        </w:rPr>
        <w:t>' of the Reich</w:t>
      </w:r>
      <w:r>
        <w:rPr>
          <w:rFonts w:ascii="Times New Roman" w:hAnsi="Times New Roman" w:cs="Times New Roman"/>
          <w:sz w:val="16"/>
          <w:szCs w:val="16"/>
        </w:rPr>
        <w:t>.</w:t>
      </w:r>
    </w:p>
    <w:p w14:paraId="241337EF"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105584A0" w14:textId="77777777" w:rsidR="00FA66A2"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EA7658">
        <w:rPr>
          <w:rFonts w:ascii="Times New Roman" w:hAnsi="Times New Roman" w:cs="Times New Roman"/>
          <w:sz w:val="16"/>
          <w:szCs w:val="16"/>
        </w:rPr>
        <w:t xml:space="preserve">The </w:t>
      </w:r>
      <w:r w:rsidRPr="00EA7658">
        <w:rPr>
          <w:rFonts w:ascii="Times New Roman" w:hAnsi="Times New Roman" w:cs="Times New Roman"/>
          <w:b/>
          <w:bCs/>
          <w:i/>
          <w:iCs/>
          <w:sz w:val="16"/>
          <w:szCs w:val="16"/>
          <w:lang w:val="de-DE"/>
        </w:rPr>
        <w:t>Reichsdeputationshauptschluss</w:t>
      </w:r>
      <w:r w:rsidRPr="00EA7658">
        <w:rPr>
          <w:rFonts w:ascii="Times New Roman" w:hAnsi="Times New Roman" w:cs="Times New Roman"/>
          <w:sz w:val="16"/>
          <w:szCs w:val="16"/>
        </w:rPr>
        <w:t xml:space="preserve"> formally the </w:t>
      </w:r>
      <w:r w:rsidRPr="00EA7658">
        <w:rPr>
          <w:rFonts w:ascii="Times New Roman" w:hAnsi="Times New Roman" w:cs="Times New Roman"/>
          <w:i/>
          <w:iCs/>
          <w:sz w:val="16"/>
          <w:szCs w:val="16"/>
          <w:lang w:val="de-DE"/>
        </w:rPr>
        <w:t>Hauptschluss der außerordentlichen Reichsdeputation</w:t>
      </w:r>
      <w:r w:rsidRPr="00EA7658">
        <w:rPr>
          <w:rFonts w:ascii="Times New Roman" w:hAnsi="Times New Roman" w:cs="Times New Roman"/>
          <w:sz w:val="16"/>
          <w:szCs w:val="16"/>
        </w:rPr>
        <w:t xml:space="preserve">, or "Principal Conclusion of the Extraordinary Imperial Delegation", sometimes referred to in English as the </w:t>
      </w:r>
      <w:r w:rsidRPr="00EA7658">
        <w:rPr>
          <w:rFonts w:ascii="Times New Roman" w:hAnsi="Times New Roman" w:cs="Times New Roman"/>
          <w:b/>
          <w:bCs/>
          <w:sz w:val="16"/>
          <w:szCs w:val="16"/>
        </w:rPr>
        <w:t>Final Recess</w:t>
      </w:r>
      <w:r w:rsidRPr="00EA7658">
        <w:rPr>
          <w:rFonts w:ascii="Times New Roman" w:hAnsi="Times New Roman" w:cs="Times New Roman"/>
          <w:sz w:val="16"/>
          <w:szCs w:val="16"/>
        </w:rPr>
        <w:t xml:space="preserve"> or the </w:t>
      </w:r>
      <w:r w:rsidRPr="00EA7658">
        <w:rPr>
          <w:rFonts w:ascii="Times New Roman" w:hAnsi="Times New Roman" w:cs="Times New Roman"/>
          <w:b/>
          <w:bCs/>
          <w:sz w:val="16"/>
          <w:szCs w:val="16"/>
        </w:rPr>
        <w:t>Imperial Recess of 1803</w:t>
      </w:r>
      <w:r w:rsidRPr="00EA7658">
        <w:rPr>
          <w:rFonts w:ascii="Times New Roman" w:hAnsi="Times New Roman" w:cs="Times New Roman"/>
          <w:sz w:val="16"/>
          <w:szCs w:val="16"/>
        </w:rPr>
        <w:t xml:space="preserve">, was a resolution passed by the </w:t>
      </w:r>
      <w:r w:rsidRPr="007E2E68">
        <w:rPr>
          <w:rFonts w:ascii="Times New Roman" w:hAnsi="Times New Roman" w:cs="Times New Roman"/>
          <w:i/>
          <w:iCs/>
          <w:sz w:val="16"/>
          <w:szCs w:val="16"/>
          <w:lang w:val="de-DE"/>
        </w:rPr>
        <w:t>Reichstag</w:t>
      </w:r>
      <w:r>
        <w:rPr>
          <w:rFonts w:ascii="Times New Roman" w:hAnsi="Times New Roman" w:cs="Times New Roman"/>
          <w:sz w:val="16"/>
          <w:szCs w:val="16"/>
        </w:rPr>
        <w:t xml:space="preserve">, i.e., </w:t>
      </w:r>
      <w:r w:rsidRPr="00EA7658">
        <w:rPr>
          <w:rFonts w:ascii="Times New Roman" w:hAnsi="Times New Roman" w:cs="Times New Roman"/>
          <w:sz w:val="16"/>
          <w:szCs w:val="16"/>
        </w:rPr>
        <w:t xml:space="preserve">Imperial Diet of the </w:t>
      </w:r>
      <w:r w:rsidRPr="007E2E68">
        <w:rPr>
          <w:rFonts w:ascii="Times New Roman" w:hAnsi="Times New Roman" w:cs="Times New Roman"/>
          <w:sz w:val="16"/>
          <w:szCs w:val="16"/>
        </w:rPr>
        <w:t>Holy Roman Empire</w:t>
      </w:r>
      <w:r w:rsidRPr="00EA7658">
        <w:rPr>
          <w:rFonts w:ascii="Times New Roman" w:hAnsi="Times New Roman" w:cs="Times New Roman"/>
          <w:sz w:val="16"/>
          <w:szCs w:val="16"/>
        </w:rPr>
        <w:t xml:space="preserve"> on 24 February 1803. It was ratified by </w:t>
      </w:r>
      <w:proofErr w:type="gramStart"/>
      <w:r w:rsidRPr="00EA7658">
        <w:rPr>
          <w:rFonts w:ascii="Times New Roman" w:hAnsi="Times New Roman" w:cs="Times New Roman"/>
          <w:sz w:val="16"/>
          <w:szCs w:val="16"/>
        </w:rPr>
        <w:t xml:space="preserve">the </w:t>
      </w:r>
      <w:r w:rsidRPr="007E2E68">
        <w:rPr>
          <w:rFonts w:ascii="Times New Roman" w:hAnsi="Times New Roman" w:cs="Times New Roman"/>
          <w:sz w:val="16"/>
          <w:szCs w:val="16"/>
        </w:rPr>
        <w:t>Emperor</w:t>
      </w:r>
      <w:proofErr w:type="gramEnd"/>
      <w:r w:rsidRPr="007E2E68">
        <w:rPr>
          <w:rFonts w:ascii="Times New Roman" w:hAnsi="Times New Roman" w:cs="Times New Roman"/>
          <w:sz w:val="16"/>
          <w:szCs w:val="16"/>
        </w:rPr>
        <w:t xml:space="preserve"> Francis II</w:t>
      </w:r>
      <w:r w:rsidRPr="00EA7658">
        <w:rPr>
          <w:rFonts w:ascii="Times New Roman" w:hAnsi="Times New Roman" w:cs="Times New Roman"/>
          <w:sz w:val="16"/>
          <w:szCs w:val="16"/>
        </w:rPr>
        <w:t xml:space="preserve"> and became law on 27 April.</w:t>
      </w:r>
    </w:p>
    <w:p w14:paraId="3BCDAC77"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5C5E2FDD"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9C11A9">
        <w:rPr>
          <w:rFonts w:ascii="Times New Roman" w:hAnsi="Times New Roman" w:cs="Times New Roman"/>
          <w:sz w:val="16"/>
          <w:szCs w:val="16"/>
        </w:rPr>
        <w:t xml:space="preserve">All Imperial Estates enjoyed Imperial Immediacy and, therefore, they had no authority </w:t>
      </w:r>
      <w:proofErr w:type="gramStart"/>
      <w:r w:rsidRPr="009C11A9">
        <w:rPr>
          <w:rFonts w:ascii="Times New Roman" w:hAnsi="Times New Roman" w:cs="Times New Roman"/>
          <w:sz w:val="16"/>
          <w:szCs w:val="16"/>
        </w:rPr>
        <w:t>above</w:t>
      </w:r>
      <w:proofErr w:type="gramEnd"/>
      <w:r w:rsidRPr="009C11A9">
        <w:rPr>
          <w:rFonts w:ascii="Times New Roman" w:hAnsi="Times New Roman" w:cs="Times New Roman"/>
          <w:sz w:val="16"/>
          <w:szCs w:val="16"/>
        </w:rPr>
        <w:t xml:space="preserve"> them besides the </w:t>
      </w:r>
      <w:r>
        <w:rPr>
          <w:rFonts w:ascii="Times New Roman" w:hAnsi="Times New Roman" w:cs="Times New Roman"/>
          <w:sz w:val="16"/>
          <w:szCs w:val="16"/>
        </w:rPr>
        <w:t>Holy Roman E</w:t>
      </w:r>
      <w:r w:rsidRPr="007E2E68">
        <w:rPr>
          <w:rFonts w:ascii="Times New Roman" w:hAnsi="Times New Roman" w:cs="Times New Roman"/>
          <w:sz w:val="16"/>
          <w:szCs w:val="16"/>
        </w:rPr>
        <w:t>mperor</w:t>
      </w:r>
      <w:r w:rsidRPr="009C11A9">
        <w:rPr>
          <w:rFonts w:ascii="Times New Roman" w:hAnsi="Times New Roman" w:cs="Times New Roman"/>
          <w:sz w:val="16"/>
          <w:szCs w:val="16"/>
        </w:rPr>
        <w:t xml:space="preserve"> himself. While all the estates were entitled to a seat and vote, only the higher temporal and spiritual princes of the College of Princes enjoyed an individual vote (</w:t>
      </w:r>
      <w:proofErr w:type="spellStart"/>
      <w:r w:rsidRPr="009C11A9">
        <w:rPr>
          <w:rFonts w:ascii="Times New Roman" w:hAnsi="Times New Roman" w:cs="Times New Roman"/>
          <w:i/>
          <w:iCs/>
          <w:sz w:val="16"/>
          <w:szCs w:val="16"/>
        </w:rPr>
        <w:t>Virilstimme</w:t>
      </w:r>
      <w:proofErr w:type="spellEnd"/>
      <w:r w:rsidRPr="009C11A9">
        <w:rPr>
          <w:rFonts w:ascii="Times New Roman" w:hAnsi="Times New Roman" w:cs="Times New Roman"/>
          <w:sz w:val="16"/>
          <w:szCs w:val="16"/>
        </w:rPr>
        <w:t>), while lesser estates such as imperial counts and imperial abbots, were merely entitled to a collective vote (</w:t>
      </w:r>
      <w:proofErr w:type="spellStart"/>
      <w:r w:rsidRPr="009C11A9">
        <w:rPr>
          <w:rFonts w:ascii="Times New Roman" w:hAnsi="Times New Roman" w:cs="Times New Roman"/>
          <w:i/>
          <w:iCs/>
          <w:sz w:val="16"/>
          <w:szCs w:val="16"/>
        </w:rPr>
        <w:t>Kuriatstimme</w:t>
      </w:r>
      <w:proofErr w:type="spellEnd"/>
      <w:r w:rsidRPr="009C11A9">
        <w:rPr>
          <w:rFonts w:ascii="Times New Roman" w:hAnsi="Times New Roman" w:cs="Times New Roman"/>
          <w:sz w:val="16"/>
          <w:szCs w:val="16"/>
        </w:rPr>
        <w:t>) within their particular bench (</w:t>
      </w:r>
      <w:r w:rsidRPr="009C11A9">
        <w:rPr>
          <w:rFonts w:ascii="Times New Roman" w:hAnsi="Times New Roman" w:cs="Times New Roman"/>
          <w:i/>
          <w:iCs/>
          <w:sz w:val="16"/>
          <w:szCs w:val="16"/>
        </w:rPr>
        <w:t>Curia</w:t>
      </w:r>
      <w:r w:rsidRPr="009C11A9">
        <w:rPr>
          <w:rFonts w:ascii="Times New Roman" w:hAnsi="Times New Roman" w:cs="Times New Roman"/>
          <w:sz w:val="16"/>
          <w:szCs w:val="16"/>
        </w:rPr>
        <w:t xml:space="preserve">), as did the free imperial cities belonging to the College of Towns. The right to vote rested essentially on a territorial entitlement, with the result that when a given prince acquired new territories through inheritance or otherwise, he also acquired their voting rights in the diet. In general, members did not attend the permanent diet at </w:t>
      </w:r>
      <w:proofErr w:type="spellStart"/>
      <w:r w:rsidRPr="009C11A9">
        <w:rPr>
          <w:rFonts w:ascii="Times New Roman" w:hAnsi="Times New Roman" w:cs="Times New Roman"/>
          <w:sz w:val="16"/>
          <w:szCs w:val="16"/>
        </w:rPr>
        <w:t>Regensbur</w:t>
      </w:r>
      <w:proofErr w:type="spellEnd"/>
      <w:r w:rsidRPr="009C11A9">
        <w:rPr>
          <w:rFonts w:ascii="Times New Roman" w:hAnsi="Times New Roman" w:cs="Times New Roman"/>
          <w:sz w:val="16"/>
          <w:szCs w:val="16"/>
        </w:rPr>
        <w:t xml:space="preserve"> but sent representatives instead. The late imperial diet was in effect a permanent meeting of ambassadors between the estates. The right to vote rested essentially on a territorial entitlement, with the result that when a given prince acquired new territories through inheritance or otherwise, he also acquired their voting rights in the diet. In general, members did not attend the permanent diet at </w:t>
      </w:r>
      <w:proofErr w:type="gramStart"/>
      <w:r w:rsidRPr="009C11A9">
        <w:rPr>
          <w:rFonts w:ascii="Times New Roman" w:hAnsi="Times New Roman" w:cs="Times New Roman"/>
          <w:sz w:val="16"/>
          <w:szCs w:val="16"/>
        </w:rPr>
        <w:t>Regensburg, but</w:t>
      </w:r>
      <w:proofErr w:type="gramEnd"/>
      <w:r w:rsidRPr="009C11A9">
        <w:rPr>
          <w:rFonts w:ascii="Times New Roman" w:hAnsi="Times New Roman" w:cs="Times New Roman"/>
          <w:sz w:val="16"/>
          <w:szCs w:val="16"/>
        </w:rPr>
        <w:t xml:space="preserve"> sent representatives instead. The late imperial diet was in effect a permanent meeting of ambassadors between the estates. Until the late 15th </w:t>
      </w:r>
      <w:proofErr w:type="gramStart"/>
      <w:r w:rsidRPr="009C11A9">
        <w:rPr>
          <w:rFonts w:ascii="Times New Roman" w:hAnsi="Times New Roman" w:cs="Times New Roman"/>
          <w:sz w:val="16"/>
          <w:szCs w:val="16"/>
        </w:rPr>
        <w:t>century</w:t>
      </w:r>
      <w:proofErr w:type="gramEnd"/>
      <w:r w:rsidRPr="009C11A9">
        <w:rPr>
          <w:rFonts w:ascii="Times New Roman" w:hAnsi="Times New Roman" w:cs="Times New Roman"/>
          <w:sz w:val="16"/>
          <w:szCs w:val="16"/>
        </w:rPr>
        <w:t xml:space="preserve"> the Diet was not formalized as an institution. Instead, the dukes and other princes would irregularly convene at the court of the emperor. These assemblies were usually referred to as </w:t>
      </w:r>
      <w:proofErr w:type="spellStart"/>
      <w:r w:rsidRPr="009C11A9">
        <w:rPr>
          <w:rFonts w:ascii="Times New Roman" w:hAnsi="Times New Roman" w:cs="Times New Roman"/>
          <w:i/>
          <w:iCs/>
          <w:sz w:val="16"/>
          <w:szCs w:val="16"/>
        </w:rPr>
        <w:t>Hoftage</w:t>
      </w:r>
      <w:proofErr w:type="spellEnd"/>
      <w:r w:rsidRPr="009C11A9">
        <w:rPr>
          <w:rFonts w:ascii="Times New Roman" w:hAnsi="Times New Roman" w:cs="Times New Roman"/>
          <w:sz w:val="16"/>
          <w:szCs w:val="16"/>
        </w:rPr>
        <w:t xml:space="preserve"> from German </w:t>
      </w:r>
      <w:r w:rsidRPr="009C11A9">
        <w:rPr>
          <w:rFonts w:ascii="Times New Roman" w:hAnsi="Times New Roman" w:cs="Times New Roman"/>
          <w:i/>
          <w:iCs/>
          <w:sz w:val="16"/>
          <w:szCs w:val="16"/>
        </w:rPr>
        <w:t>Hof</w:t>
      </w:r>
      <w:r w:rsidRPr="009C11A9">
        <w:rPr>
          <w:rFonts w:ascii="Times New Roman" w:hAnsi="Times New Roman" w:cs="Times New Roman"/>
          <w:sz w:val="16"/>
          <w:szCs w:val="16"/>
        </w:rPr>
        <w:t xml:space="preserve"> "court". Only beginning in 1489 was the Diet called the </w:t>
      </w:r>
      <w:r w:rsidRPr="009C11A9">
        <w:rPr>
          <w:rFonts w:ascii="Times New Roman" w:hAnsi="Times New Roman" w:cs="Times New Roman"/>
          <w:i/>
          <w:iCs/>
          <w:sz w:val="16"/>
          <w:szCs w:val="16"/>
        </w:rPr>
        <w:t>Reichstag</w:t>
      </w:r>
      <w:r w:rsidRPr="009C11A9">
        <w:rPr>
          <w:rFonts w:ascii="Times New Roman" w:hAnsi="Times New Roman" w:cs="Times New Roman"/>
          <w:sz w:val="16"/>
          <w:szCs w:val="16"/>
        </w:rPr>
        <w:t xml:space="preserve">, and it was formally divided into </w:t>
      </w:r>
      <w:r w:rsidRPr="009C11A9">
        <w:rPr>
          <w:rFonts w:ascii="Times New Roman" w:hAnsi="Times New Roman" w:cs="Times New Roman"/>
          <w:i/>
          <w:iCs/>
          <w:sz w:val="16"/>
          <w:szCs w:val="16"/>
        </w:rPr>
        <w:t>collegia</w:t>
      </w:r>
      <w:r w:rsidRPr="009C11A9">
        <w:rPr>
          <w:rFonts w:ascii="Times New Roman" w:hAnsi="Times New Roman" w:cs="Times New Roman"/>
          <w:sz w:val="16"/>
          <w:szCs w:val="16"/>
        </w:rPr>
        <w:t xml:space="preserve"> or "colleges". Initially, the two colleges were of the prince-electors and of the remaining dukes and princes. </w:t>
      </w:r>
    </w:p>
    <w:p w14:paraId="245F1AF0"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6F992102"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9C11A9">
        <w:rPr>
          <w:rFonts w:ascii="Times New Roman" w:hAnsi="Times New Roman" w:cs="Times New Roman"/>
          <w:sz w:val="16"/>
          <w:szCs w:val="16"/>
        </w:rPr>
        <w:t xml:space="preserve">Later, the imperial cities with Imperial immediacy became oligarchic republics independent of a local ruler, subject only to the emperor himself, and managed to be accepted as third parties. Motions passed if two of the colleges approved. Generally, the princely and electoral colleges would agree with each other, rather than rely on the cities to </w:t>
      </w:r>
      <w:proofErr w:type="gramStart"/>
      <w:r w:rsidRPr="009C11A9">
        <w:rPr>
          <w:rFonts w:ascii="Times New Roman" w:hAnsi="Times New Roman" w:cs="Times New Roman"/>
          <w:sz w:val="16"/>
          <w:szCs w:val="16"/>
        </w:rPr>
        <w:t>make a decision</w:t>
      </w:r>
      <w:proofErr w:type="gramEnd"/>
      <w:r w:rsidRPr="009C11A9">
        <w:rPr>
          <w:rFonts w:ascii="Times New Roman" w:hAnsi="Times New Roman" w:cs="Times New Roman"/>
          <w:sz w:val="16"/>
          <w:szCs w:val="16"/>
        </w:rPr>
        <w:t xml:space="preserve">, but the cities still had influence. Several attempts to reform the Empire and end its slow disintegration, starting with the </w:t>
      </w:r>
      <w:r w:rsidRPr="009C11A9">
        <w:rPr>
          <w:rFonts w:ascii="Times New Roman" w:hAnsi="Times New Roman" w:cs="Times New Roman"/>
          <w:b/>
          <w:bCs/>
          <w:sz w:val="16"/>
          <w:szCs w:val="16"/>
        </w:rPr>
        <w:t>Diet of 1495</w:t>
      </w:r>
      <w:r w:rsidRPr="009C11A9">
        <w:rPr>
          <w:rFonts w:ascii="Times New Roman" w:hAnsi="Times New Roman" w:cs="Times New Roman"/>
          <w:sz w:val="16"/>
          <w:szCs w:val="16"/>
        </w:rPr>
        <w:t xml:space="preserve"> or Assembly of 1495, did not have much effect. In contrast, this process was hastened with the </w:t>
      </w:r>
      <w:r w:rsidRPr="009C11A9">
        <w:rPr>
          <w:rFonts w:ascii="Times New Roman" w:hAnsi="Times New Roman" w:cs="Times New Roman"/>
          <w:b/>
          <w:bCs/>
          <w:sz w:val="16"/>
          <w:szCs w:val="16"/>
        </w:rPr>
        <w:t>Peace of Westphalia of 1648</w:t>
      </w:r>
      <w:r w:rsidRPr="009C11A9">
        <w:rPr>
          <w:rFonts w:ascii="Times New Roman" w:hAnsi="Times New Roman" w:cs="Times New Roman"/>
          <w:sz w:val="16"/>
          <w:szCs w:val="16"/>
        </w:rPr>
        <w:t xml:space="preserve">, which formally bound the emperor to accept all decisions made by the Diet, in effect depriving him of his few remaining powers. Nonetheless, the emperor still had substantial influence in the Diet. The Habsburg emperors possessed </w:t>
      </w:r>
      <w:proofErr w:type="gramStart"/>
      <w:r w:rsidRPr="009C11A9">
        <w:rPr>
          <w:rFonts w:ascii="Times New Roman" w:hAnsi="Times New Roman" w:cs="Times New Roman"/>
          <w:sz w:val="16"/>
          <w:szCs w:val="16"/>
        </w:rPr>
        <w:t>a large number of</w:t>
      </w:r>
      <w:proofErr w:type="gramEnd"/>
      <w:r w:rsidRPr="009C11A9">
        <w:rPr>
          <w:rFonts w:ascii="Times New Roman" w:hAnsi="Times New Roman" w:cs="Times New Roman"/>
          <w:sz w:val="16"/>
          <w:szCs w:val="16"/>
        </w:rPr>
        <w:t xml:space="preserve"> </w:t>
      </w:r>
      <w:proofErr w:type="gramStart"/>
      <w:r w:rsidRPr="009C11A9">
        <w:rPr>
          <w:rFonts w:ascii="Times New Roman" w:hAnsi="Times New Roman" w:cs="Times New Roman"/>
          <w:sz w:val="16"/>
          <w:szCs w:val="16"/>
        </w:rPr>
        <w:t>votes, and</w:t>
      </w:r>
      <w:proofErr w:type="gramEnd"/>
      <w:r w:rsidRPr="009C11A9">
        <w:rPr>
          <w:rFonts w:ascii="Times New Roman" w:hAnsi="Times New Roman" w:cs="Times New Roman"/>
          <w:sz w:val="16"/>
          <w:szCs w:val="16"/>
        </w:rPr>
        <w:t xml:space="preserve"> even held command over the Imperial Army of the Holy Roman Empire, if the Diet decided to raise it. Probably the most famous Diets were those held in Worms in 1495, where the Imperial Reform was enacted, and 1521, where Martin Luther was banned, see Edict of Worms, the Diets of Speyer 1526 and 1529, see Protestation at Speyer, and several in Nuremberg, see Diet of Nuremberg. Only with the introduction of the Perpetual Diet of Regensburg in 1663 did the Diet permanently convene at a fixed location. The Imperial Diet of Constance opened on 27 April 1507; it recognized the unity of the Holy Roman Empire and founded the </w:t>
      </w:r>
      <w:r w:rsidRPr="009C11A9">
        <w:rPr>
          <w:rFonts w:ascii="Times New Roman" w:hAnsi="Times New Roman" w:cs="Times New Roman"/>
          <w:b/>
          <w:bCs/>
          <w:sz w:val="16"/>
          <w:szCs w:val="16"/>
        </w:rPr>
        <w:t>Imperial Chamber</w:t>
      </w:r>
      <w:r w:rsidRPr="009C11A9">
        <w:rPr>
          <w:rFonts w:ascii="Times New Roman" w:hAnsi="Times New Roman" w:cs="Times New Roman"/>
          <w:sz w:val="16"/>
          <w:szCs w:val="16"/>
        </w:rPr>
        <w:t xml:space="preserve">, or </w:t>
      </w:r>
      <w:r w:rsidRPr="009C11A9">
        <w:rPr>
          <w:rFonts w:ascii="Times New Roman" w:hAnsi="Times New Roman" w:cs="Times New Roman"/>
          <w:sz w:val="16"/>
          <w:szCs w:val="16"/>
          <w:lang w:val="de-DE"/>
        </w:rPr>
        <w:t>Reichskammergericht,</w:t>
      </w:r>
      <w:r w:rsidRPr="009C11A9">
        <w:rPr>
          <w:rFonts w:ascii="Times New Roman" w:hAnsi="Times New Roman" w:cs="Times New Roman"/>
          <w:sz w:val="16"/>
          <w:szCs w:val="16"/>
        </w:rPr>
        <w:t xml:space="preserve"> the empire's supreme court.</w:t>
      </w:r>
    </w:p>
    <w:p w14:paraId="60942FED"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2FFF8E03"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w:t>
      </w:r>
      <w:r w:rsidRPr="005E770B">
        <w:rPr>
          <w:rFonts w:ascii="Times New Roman" w:hAnsi="Times New Roman" w:cs="Times New Roman"/>
          <w:b/>
          <w:bCs/>
          <w:i/>
          <w:iCs/>
          <w:sz w:val="16"/>
          <w:szCs w:val="16"/>
          <w:lang w:val="de-DE"/>
        </w:rPr>
        <w:t>Reichskammergericht</w:t>
      </w:r>
      <w:r w:rsidRPr="005E770B">
        <w:rPr>
          <w:rFonts w:ascii="Times New Roman" w:hAnsi="Times New Roman" w:cs="Times New Roman"/>
          <w:sz w:val="16"/>
          <w:szCs w:val="16"/>
        </w:rPr>
        <w:t xml:space="preserve">, German for 'Imperial Chamber Court'; German: </w:t>
      </w:r>
      <w:r w:rsidRPr="005E770B">
        <w:rPr>
          <w:rFonts w:ascii="Times New Roman" w:hAnsi="Times New Roman" w:cs="Times New Roman"/>
          <w:b/>
          <w:bCs/>
          <w:sz w:val="16"/>
          <w:szCs w:val="16"/>
        </w:rPr>
        <w:t>Latin</w:t>
      </w:r>
      <w:r w:rsidRPr="005E770B">
        <w:rPr>
          <w:rFonts w:ascii="Times New Roman" w:hAnsi="Times New Roman" w:cs="Times New Roman"/>
          <w:sz w:val="16"/>
          <w:szCs w:val="16"/>
        </w:rPr>
        <w:t xml:space="preserve">: </w:t>
      </w:r>
      <w:r w:rsidRPr="005E770B">
        <w:rPr>
          <w:rFonts w:ascii="Times New Roman" w:hAnsi="Times New Roman" w:cs="Times New Roman"/>
          <w:i/>
          <w:iCs/>
          <w:sz w:val="16"/>
          <w:szCs w:val="16"/>
          <w:lang w:val="la-Latn"/>
        </w:rPr>
        <w:t>Iudicium imperii</w:t>
      </w:r>
      <w:r w:rsidRPr="005E770B">
        <w:rPr>
          <w:rFonts w:ascii="Times New Roman" w:hAnsi="Times New Roman" w:cs="Times New Roman"/>
          <w:sz w:val="16"/>
          <w:szCs w:val="16"/>
        </w:rPr>
        <w:t xml:space="preserve">, was one of the two highest judicial institutions in the Holy Roman Empire, the other one being the Aulic Council in Vienna. It was founded in 1495 by the Imperial Diet in </w:t>
      </w:r>
      <w:r w:rsidRPr="005E770B">
        <w:rPr>
          <w:rFonts w:ascii="Times New Roman" w:hAnsi="Times New Roman" w:cs="Times New Roman"/>
          <w:sz w:val="16"/>
          <w:szCs w:val="16"/>
        </w:rPr>
        <w:lastRenderedPageBreak/>
        <w:t xml:space="preserve">Worms. All legal proceedings in the Holy Roman Empire could be brought to the Imperial Chamber Court, except if the ruler of the territory had a so-called </w:t>
      </w:r>
      <w:proofErr w:type="spellStart"/>
      <w:r w:rsidRPr="005E770B">
        <w:rPr>
          <w:rFonts w:ascii="Times New Roman" w:hAnsi="Times New Roman" w:cs="Times New Roman"/>
          <w:i/>
          <w:iCs/>
          <w:sz w:val="16"/>
          <w:szCs w:val="16"/>
        </w:rPr>
        <w:t>privilegium</w:t>
      </w:r>
      <w:proofErr w:type="spellEnd"/>
      <w:r w:rsidRPr="005E770B">
        <w:rPr>
          <w:rFonts w:ascii="Times New Roman" w:hAnsi="Times New Roman" w:cs="Times New Roman"/>
          <w:i/>
          <w:iCs/>
          <w:sz w:val="16"/>
          <w:szCs w:val="16"/>
        </w:rPr>
        <w:t xml:space="preserve"> de non </w:t>
      </w:r>
      <w:proofErr w:type="spellStart"/>
      <w:r w:rsidRPr="005E770B">
        <w:rPr>
          <w:rFonts w:ascii="Times New Roman" w:hAnsi="Times New Roman" w:cs="Times New Roman"/>
          <w:i/>
          <w:iCs/>
          <w:sz w:val="16"/>
          <w:szCs w:val="16"/>
        </w:rPr>
        <w:t>appellando</w:t>
      </w:r>
      <w:proofErr w:type="spellEnd"/>
      <w:r w:rsidRPr="005E770B">
        <w:rPr>
          <w:rFonts w:ascii="Times New Roman" w:hAnsi="Times New Roman" w:cs="Times New Roman"/>
          <w:sz w:val="16"/>
          <w:szCs w:val="16"/>
        </w:rPr>
        <w:t xml:space="preserve">, in which case the highest judicial institution was found by the ruler of that territory, though the privilege could be bypassed if a litigant could claim they had been </w:t>
      </w:r>
      <w:r w:rsidRPr="005E770B">
        <w:rPr>
          <w:rFonts w:ascii="Times New Roman" w:hAnsi="Times New Roman" w:cs="Times New Roman"/>
          <w:b/>
          <w:bCs/>
          <w:sz w:val="16"/>
          <w:szCs w:val="16"/>
        </w:rPr>
        <w:t>denied due process</w:t>
      </w:r>
      <w:r w:rsidRPr="005E770B">
        <w:rPr>
          <w:rFonts w:ascii="Times New Roman" w:hAnsi="Times New Roman" w:cs="Times New Roman"/>
          <w:sz w:val="16"/>
          <w:szCs w:val="16"/>
        </w:rPr>
        <w:t>. Another exception was criminal law in which the Imperial Chamber Court could intervene only if basic procedural rules had been violated.</w:t>
      </w:r>
    </w:p>
    <w:p w14:paraId="79F7C6AD"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318DE6E4"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"province of the Imperial Chamber", as it came to be gradually defined by statute and use, extended to breaches of the public peace, cases of arbitrary distraint, i.e., </w:t>
      </w:r>
      <w:r w:rsidRPr="005E770B">
        <w:rPr>
          <w:rFonts w:ascii="Times New Roman" w:hAnsi="Times New Roman" w:cs="Times New Roman"/>
          <w:b/>
          <w:bCs/>
          <w:sz w:val="16"/>
          <w:szCs w:val="16"/>
        </w:rPr>
        <w:t>property seizure</w:t>
      </w:r>
      <w:r w:rsidRPr="005E770B">
        <w:rPr>
          <w:rFonts w:ascii="Times New Roman" w:hAnsi="Times New Roman" w:cs="Times New Roman"/>
          <w:sz w:val="16"/>
          <w:szCs w:val="16"/>
        </w:rPr>
        <w:t xml:space="preserve"> / </w:t>
      </w:r>
      <w:r w:rsidRPr="005E770B">
        <w:rPr>
          <w:rFonts w:ascii="Times New Roman" w:hAnsi="Times New Roman" w:cs="Times New Roman"/>
          <w:b/>
          <w:bCs/>
          <w:sz w:val="16"/>
          <w:szCs w:val="16"/>
        </w:rPr>
        <w:t>evictions</w:t>
      </w:r>
      <w:r w:rsidRPr="005E770B">
        <w:rPr>
          <w:rFonts w:ascii="Times New Roman" w:hAnsi="Times New Roman" w:cs="Times New Roman"/>
          <w:sz w:val="16"/>
          <w:szCs w:val="16"/>
        </w:rPr>
        <w:t xml:space="preserve"> / </w:t>
      </w:r>
      <w:r w:rsidRPr="005E770B">
        <w:rPr>
          <w:rFonts w:ascii="Times New Roman" w:hAnsi="Times New Roman" w:cs="Times New Roman"/>
          <w:b/>
          <w:bCs/>
          <w:sz w:val="16"/>
          <w:szCs w:val="16"/>
        </w:rPr>
        <w:t>ejectments</w:t>
      </w:r>
      <w:r w:rsidRPr="005E770B">
        <w:rPr>
          <w:rFonts w:ascii="Times New Roman" w:hAnsi="Times New Roman" w:cs="Times New Roman"/>
          <w:sz w:val="16"/>
          <w:szCs w:val="16"/>
        </w:rPr>
        <w:t xml:space="preserve"> or imprisonment, pleas which concerned the treasury, violations of the Emperor's decrees or the laws passed by the Imperial Diet, disputes about property between immediate tenants of the Empire or the subjects of different rulers, and finally suits against immediate tenants of the Empire, with the exception of criminal charges and matters relating to imperial fiefs, which went to the Aulic Council. In </w:t>
      </w:r>
      <w:proofErr w:type="gramStart"/>
      <w:r w:rsidRPr="005E770B">
        <w:rPr>
          <w:rFonts w:ascii="Times New Roman" w:hAnsi="Times New Roman" w:cs="Times New Roman"/>
          <w:sz w:val="16"/>
          <w:szCs w:val="16"/>
        </w:rPr>
        <w:t>all of</w:t>
      </w:r>
      <w:proofErr w:type="gramEnd"/>
      <w:r w:rsidRPr="005E770B">
        <w:rPr>
          <w:rFonts w:ascii="Times New Roman" w:hAnsi="Times New Roman" w:cs="Times New Roman"/>
          <w:sz w:val="16"/>
          <w:szCs w:val="16"/>
        </w:rPr>
        <w:t xml:space="preserve"> its business, it suffered from </w:t>
      </w:r>
      <w:proofErr w:type="gramStart"/>
      <w:r w:rsidRPr="005E770B">
        <w:rPr>
          <w:rFonts w:ascii="Times New Roman" w:hAnsi="Times New Roman" w:cs="Times New Roman"/>
          <w:sz w:val="16"/>
          <w:szCs w:val="16"/>
        </w:rPr>
        <w:t>the competition</w:t>
      </w:r>
      <w:proofErr w:type="gramEnd"/>
      <w:r w:rsidRPr="005E770B">
        <w:rPr>
          <w:rFonts w:ascii="Times New Roman" w:hAnsi="Times New Roman" w:cs="Times New Roman"/>
          <w:sz w:val="16"/>
          <w:szCs w:val="16"/>
        </w:rPr>
        <w:t xml:space="preserve"> </w:t>
      </w:r>
      <w:proofErr w:type="gramStart"/>
      <w:r w:rsidRPr="005E770B">
        <w:rPr>
          <w:rFonts w:ascii="Times New Roman" w:hAnsi="Times New Roman" w:cs="Times New Roman"/>
          <w:sz w:val="16"/>
          <w:szCs w:val="16"/>
        </w:rPr>
        <w:t>of</w:t>
      </w:r>
      <w:proofErr w:type="gramEnd"/>
      <w:r w:rsidRPr="005E770B">
        <w:rPr>
          <w:rFonts w:ascii="Times New Roman" w:hAnsi="Times New Roman" w:cs="Times New Roman"/>
          <w:sz w:val="16"/>
          <w:szCs w:val="16"/>
        </w:rPr>
        <w:t xml:space="preserve"> the Aulic Council. The competition between the Aulic Council and the Imperial Chamber was finally regulated by the Peace of Westphalia in 1648, which laid down that the court </w:t>
      </w:r>
      <w:proofErr w:type="gramStart"/>
      <w:r w:rsidRPr="005E770B">
        <w:rPr>
          <w:rFonts w:ascii="Times New Roman" w:hAnsi="Times New Roman" w:cs="Times New Roman"/>
          <w:sz w:val="16"/>
          <w:szCs w:val="16"/>
        </w:rPr>
        <w:t>which first</w:t>
      </w:r>
      <w:proofErr w:type="gramEnd"/>
      <w:r w:rsidRPr="005E770B">
        <w:rPr>
          <w:rFonts w:ascii="Times New Roman" w:hAnsi="Times New Roman" w:cs="Times New Roman"/>
          <w:sz w:val="16"/>
          <w:szCs w:val="16"/>
        </w:rPr>
        <w:t xml:space="preserve"> dealt with a case should alone have competence to pursue it. </w:t>
      </w:r>
    </w:p>
    <w:p w14:paraId="2BDF7F0A"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38195DAD"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Unlike the </w:t>
      </w:r>
      <w:r w:rsidRPr="005E770B">
        <w:rPr>
          <w:rFonts w:ascii="Times New Roman" w:hAnsi="Times New Roman" w:cs="Times New Roman"/>
          <w:i/>
          <w:iCs/>
          <w:sz w:val="16"/>
          <w:szCs w:val="16"/>
          <w:lang w:val="de-DE"/>
        </w:rPr>
        <w:t>Reichskammergericht</w:t>
      </w:r>
      <w:r w:rsidRPr="005E770B">
        <w:rPr>
          <w:rFonts w:ascii="Times New Roman" w:hAnsi="Times New Roman" w:cs="Times New Roman"/>
          <w:sz w:val="16"/>
          <w:szCs w:val="16"/>
        </w:rPr>
        <w:t xml:space="preserve">, which was tied to the Imperial estates, the Aulic Council was tied directly to the Holy Roman Emperor. It had not only </w:t>
      </w:r>
      <w:r w:rsidRPr="005E770B">
        <w:rPr>
          <w:rFonts w:ascii="Times New Roman" w:hAnsi="Times New Roman" w:cs="Times New Roman"/>
          <w:i/>
          <w:iCs/>
          <w:sz w:val="16"/>
          <w:szCs w:val="16"/>
        </w:rPr>
        <w:t>concurrent jurisdiction</w:t>
      </w:r>
      <w:r w:rsidRPr="005E770B">
        <w:rPr>
          <w:rFonts w:ascii="Times New Roman" w:hAnsi="Times New Roman" w:cs="Times New Roman"/>
          <w:sz w:val="16"/>
          <w:szCs w:val="16"/>
        </w:rPr>
        <w:t xml:space="preserve"> with the </w:t>
      </w:r>
      <w:r w:rsidRPr="005E770B">
        <w:rPr>
          <w:rFonts w:ascii="Times New Roman" w:hAnsi="Times New Roman" w:cs="Times New Roman"/>
          <w:i/>
          <w:iCs/>
          <w:sz w:val="16"/>
          <w:szCs w:val="16"/>
          <w:lang w:val="de-DE"/>
        </w:rPr>
        <w:t>Reichskammergericht</w:t>
      </w:r>
      <w:r w:rsidRPr="005E770B">
        <w:rPr>
          <w:rFonts w:ascii="Times New Roman" w:hAnsi="Times New Roman" w:cs="Times New Roman"/>
          <w:sz w:val="16"/>
          <w:szCs w:val="16"/>
        </w:rPr>
        <w:t xml:space="preserve">, but in many cases </w:t>
      </w:r>
      <w:r w:rsidRPr="005E770B">
        <w:rPr>
          <w:rFonts w:ascii="Times New Roman" w:hAnsi="Times New Roman" w:cs="Times New Roman"/>
          <w:i/>
          <w:iCs/>
          <w:sz w:val="16"/>
          <w:szCs w:val="16"/>
        </w:rPr>
        <w:t>exclusive jurisdiction</w:t>
      </w:r>
      <w:r w:rsidRPr="005E770B">
        <w:rPr>
          <w:rFonts w:ascii="Times New Roman" w:hAnsi="Times New Roman" w:cs="Times New Roman"/>
          <w:sz w:val="16"/>
          <w:szCs w:val="16"/>
        </w:rPr>
        <w:t xml:space="preserve">: the Aulic Council had exclusive jurisdiction in all "feudal" processes, and in criminal affairs, over the immediate subjects of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and in affairs which concerned the Holy Roman Empire, and more. It did not have a single set seat, rather, it was bound with the </w:t>
      </w:r>
      <w:proofErr w:type="gramStart"/>
      <w:r w:rsidRPr="005E770B">
        <w:rPr>
          <w:rFonts w:ascii="Times New Roman" w:hAnsi="Times New Roman" w:cs="Times New Roman"/>
          <w:sz w:val="16"/>
          <w:szCs w:val="16"/>
        </w:rPr>
        <w:t>Emperor's</w:t>
      </w:r>
      <w:proofErr w:type="gramEnd"/>
      <w:r w:rsidRPr="005E770B">
        <w:rPr>
          <w:rFonts w:ascii="Times New Roman" w:hAnsi="Times New Roman" w:cs="Times New Roman"/>
          <w:sz w:val="16"/>
          <w:szCs w:val="16"/>
        </w:rPr>
        <w:t xml:space="preserve"> residences. Prague, Wels, and Frankfurt, were all sites of the court but the most important seat of the Aulic Council was at the Hofburg residence of the Habsburg emperors in Vienna.</w:t>
      </w:r>
    </w:p>
    <w:p w14:paraId="402B94C8"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62F79BD0"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Aulic Council handled both judicial and political matters, and the distinction between both is not always easy to make. The Aulic Council did not try to make a distinction between the two, calling </w:t>
      </w:r>
      <w:proofErr w:type="gramStart"/>
      <w:r w:rsidRPr="005E770B">
        <w:rPr>
          <w:rFonts w:ascii="Times New Roman" w:hAnsi="Times New Roman" w:cs="Times New Roman"/>
          <w:sz w:val="16"/>
          <w:szCs w:val="16"/>
        </w:rPr>
        <w:t>all of</w:t>
      </w:r>
      <w:proofErr w:type="gramEnd"/>
      <w:r w:rsidRPr="005E770B">
        <w:rPr>
          <w:rFonts w:ascii="Times New Roman" w:hAnsi="Times New Roman" w:cs="Times New Roman"/>
          <w:sz w:val="16"/>
          <w:szCs w:val="16"/>
        </w:rPr>
        <w:t xml:space="preserve"> its cases </w:t>
      </w:r>
      <w:r w:rsidRPr="005E770B">
        <w:rPr>
          <w:rFonts w:ascii="Times New Roman" w:hAnsi="Times New Roman" w:cs="Times New Roman"/>
          <w:i/>
          <w:iCs/>
          <w:sz w:val="16"/>
          <w:szCs w:val="16"/>
          <w:lang w:val="la-Latn"/>
        </w:rPr>
        <w:t>causae</w:t>
      </w:r>
      <w:r w:rsidRPr="005E770B">
        <w:rPr>
          <w:rFonts w:ascii="Times New Roman" w:hAnsi="Times New Roman" w:cs="Times New Roman"/>
          <w:sz w:val="16"/>
          <w:szCs w:val="16"/>
        </w:rPr>
        <w:t xml:space="preserve">. It often emphasized mediation over formal verdicts </w:t>
      </w:r>
      <w:proofErr w:type="gramStart"/>
      <w:r w:rsidRPr="005E770B">
        <w:rPr>
          <w:rFonts w:ascii="Times New Roman" w:hAnsi="Times New Roman" w:cs="Times New Roman"/>
          <w:sz w:val="16"/>
          <w:szCs w:val="16"/>
        </w:rPr>
        <w:t>and  frequently</w:t>
      </w:r>
      <w:proofErr w:type="gramEnd"/>
      <w:r w:rsidRPr="005E770B">
        <w:rPr>
          <w:rFonts w:ascii="Times New Roman" w:hAnsi="Times New Roman" w:cs="Times New Roman"/>
          <w:sz w:val="16"/>
          <w:szCs w:val="16"/>
        </w:rPr>
        <w:t xml:space="preserve"> employed "commissions" to facilitate compromises between parties, and sometimes the act of filing a complaint with the Council was sufficient to encourage settlement. Both the Aulic Council and the </w:t>
      </w:r>
      <w:r w:rsidRPr="005E770B">
        <w:rPr>
          <w:rFonts w:ascii="Times New Roman" w:hAnsi="Times New Roman" w:cs="Times New Roman"/>
          <w:i/>
          <w:iCs/>
          <w:sz w:val="16"/>
          <w:szCs w:val="16"/>
          <w:lang w:val="de-DE"/>
        </w:rPr>
        <w:t>Reichskammergericht</w:t>
      </w:r>
      <w:r w:rsidRPr="005E770B">
        <w:rPr>
          <w:rFonts w:ascii="Times New Roman" w:hAnsi="Times New Roman" w:cs="Times New Roman"/>
          <w:sz w:val="16"/>
          <w:szCs w:val="16"/>
        </w:rPr>
        <w:t xml:space="preserve"> demonstrated their moderating influence in </w:t>
      </w:r>
      <w:r w:rsidRPr="005E770B">
        <w:rPr>
          <w:rFonts w:ascii="Times New Roman" w:hAnsi="Times New Roman" w:cs="Times New Roman"/>
          <w:b/>
          <w:bCs/>
          <w:i/>
          <w:iCs/>
          <w:sz w:val="16"/>
          <w:szCs w:val="16"/>
        </w:rPr>
        <w:t>witch trials</w:t>
      </w:r>
      <w:r w:rsidRPr="005E770B">
        <w:rPr>
          <w:rFonts w:ascii="Times New Roman" w:hAnsi="Times New Roman" w:cs="Times New Roman"/>
          <w:sz w:val="16"/>
          <w:szCs w:val="16"/>
        </w:rPr>
        <w:t xml:space="preserve">: both courts tried to (and with some success managed to) prevent excessive cruelty in the proceedings. When required, the Aulic Council had a formalized method of issuing verdicts, mainly through use of military force, and enlisted help from "commissions" consisting of princes in Imperial Circles. Such enforcement was legitimized by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The Aulic Council could enforce many of its verdicts, even against stronger members of the Empire (ex. Prussia), without using force, to the extent that Frederick William I of Prussia, the famous "Soldier King", partook in bribing members of the Aulic Council in hopes of securing more favorable verdicts, to avoid being contumacious. These enforcement and arbitration mechanisms all helped establish the principle of </w:t>
      </w:r>
      <w:proofErr w:type="spellStart"/>
      <w:r w:rsidRPr="005E770B">
        <w:rPr>
          <w:rFonts w:ascii="Times New Roman" w:hAnsi="Times New Roman" w:cs="Times New Roman"/>
          <w:b/>
          <w:bCs/>
          <w:sz w:val="16"/>
          <w:szCs w:val="16"/>
        </w:rPr>
        <w:t>juridification</w:t>
      </w:r>
      <w:proofErr w:type="spellEnd"/>
      <w:r w:rsidRPr="005E770B">
        <w:rPr>
          <w:rFonts w:ascii="Times New Roman" w:hAnsi="Times New Roman" w:cs="Times New Roman"/>
          <w:sz w:val="16"/>
          <w:szCs w:val="16"/>
        </w:rPr>
        <w:t xml:space="preserve"> in the Empire.</w:t>
      </w:r>
    </w:p>
    <w:p w14:paraId="50216EA0"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2D9DD7D4" w14:textId="77777777" w:rsidR="00FA66A2" w:rsidRPr="005E770B" w:rsidRDefault="00FA66A2" w:rsidP="00FA66A2">
      <w:pPr>
        <w:pStyle w:val="ListParagraph"/>
        <w:autoSpaceDE w:val="0"/>
        <w:autoSpaceDN w:val="0"/>
        <w:adjustRightInd w:val="0"/>
        <w:spacing w:after="0"/>
        <w:ind w:left="1075"/>
        <w:rPr>
          <w:rFonts w:ascii="Times New Roman" w:hAnsi="Times New Roman" w:cs="Times New Roman"/>
          <w:sz w:val="16"/>
          <w:szCs w:val="16"/>
        </w:rPr>
      </w:pPr>
      <w:r w:rsidRPr="005E770B">
        <w:rPr>
          <w:rFonts w:ascii="Times New Roman" w:hAnsi="Times New Roman" w:cs="Times New Roman"/>
          <w:sz w:val="16"/>
          <w:szCs w:val="16"/>
        </w:rPr>
        <w:t xml:space="preserve">Like the </w:t>
      </w:r>
      <w:r w:rsidRPr="005E770B">
        <w:rPr>
          <w:rFonts w:ascii="Times New Roman" w:hAnsi="Times New Roman" w:cs="Times New Roman"/>
          <w:i/>
          <w:iCs/>
          <w:sz w:val="16"/>
          <w:szCs w:val="16"/>
          <w:lang w:val="de-DE"/>
        </w:rPr>
        <w:t>Reichskammergericht</w:t>
      </w:r>
      <w:r w:rsidRPr="005E770B">
        <w:rPr>
          <w:rFonts w:ascii="Times New Roman" w:hAnsi="Times New Roman" w:cs="Times New Roman"/>
          <w:sz w:val="16"/>
          <w:szCs w:val="16"/>
        </w:rPr>
        <w:t xml:space="preserve">, the Aulic Council was an </w:t>
      </w:r>
      <w:r w:rsidRPr="005E770B">
        <w:rPr>
          <w:rFonts w:ascii="Times New Roman" w:hAnsi="Times New Roman" w:cs="Times New Roman"/>
          <w:b/>
          <w:bCs/>
          <w:color w:val="C00000"/>
          <w:sz w:val="16"/>
          <w:szCs w:val="16"/>
        </w:rPr>
        <w:t>appeals court</w:t>
      </w:r>
      <w:r w:rsidRPr="005E770B">
        <w:rPr>
          <w:rFonts w:ascii="Times New Roman" w:hAnsi="Times New Roman" w:cs="Times New Roman"/>
          <w:sz w:val="16"/>
          <w:szCs w:val="16"/>
        </w:rPr>
        <w:t>, in which matters that could not be settled at a lower level were brought to the it for deliberation.</w:t>
      </w:r>
    </w:p>
    <w:p w14:paraId="1B6DA27B"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57FF0094"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Aulic Council commonly dealt with feudal disputes. These included "imperial overlordship, protecting imperial fiefs, all issues relating to investitures, inheritance, pawning, or purchase of fiefs, and all sorts of lawsuits related to these matters." The Aulic Council also dealt with constitutional disputes, especially in Imperial cities and imperial knightly territories. It also proved to be a major court when it came to succession disputes within the Empire. For example, the Aulic Council was charged with dealing with cases such as the Jülich Succession and the succession in the Ernestine duchies. Internal conflicts between rulers and their subjects were also commonly brought to the Aulic Council. See the </w:t>
      </w:r>
      <w:r w:rsidRPr="005E770B">
        <w:rPr>
          <w:rFonts w:ascii="Times New Roman" w:hAnsi="Times New Roman" w:cs="Times New Roman"/>
          <w:i/>
          <w:iCs/>
          <w:sz w:val="16"/>
          <w:szCs w:val="16"/>
        </w:rPr>
        <w:t>Examples of Cases Studied</w:t>
      </w:r>
      <w:r w:rsidRPr="005E770B">
        <w:rPr>
          <w:rFonts w:ascii="Times New Roman" w:hAnsi="Times New Roman" w:cs="Times New Roman"/>
          <w:sz w:val="16"/>
          <w:szCs w:val="16"/>
        </w:rPr>
        <w:t xml:space="preserve"> section below for more information. Uniquely, the Aulic Council also had exclusive rights over judicial matters in the Kingdom of Italy.</w:t>
      </w:r>
    </w:p>
    <w:p w14:paraId="6CC61AEF"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0704359E" w14:textId="77777777" w:rsidR="00FA66A2" w:rsidRPr="005E770B" w:rsidRDefault="00FA66A2" w:rsidP="00FA66A2">
      <w:pPr>
        <w:pStyle w:val="ListParagraph"/>
        <w:autoSpaceDE w:val="0"/>
        <w:autoSpaceDN w:val="0"/>
        <w:adjustRightInd w:val="0"/>
        <w:spacing w:after="0"/>
        <w:ind w:left="1075"/>
        <w:rPr>
          <w:rFonts w:ascii="Times New Roman" w:hAnsi="Times New Roman" w:cs="Times New Roman"/>
          <w:sz w:val="16"/>
          <w:szCs w:val="16"/>
        </w:rPr>
      </w:pPr>
      <w:r w:rsidRPr="005E770B">
        <w:rPr>
          <w:rFonts w:ascii="Times New Roman" w:hAnsi="Times New Roman" w:cs="Times New Roman"/>
          <w:sz w:val="16"/>
          <w:szCs w:val="16"/>
        </w:rPr>
        <w:t xml:space="preserve">The Aulic Council was also often concerned with </w:t>
      </w:r>
      <w:r w:rsidRPr="005E770B">
        <w:rPr>
          <w:rFonts w:ascii="Times New Roman" w:hAnsi="Times New Roman" w:cs="Times New Roman"/>
          <w:b/>
          <w:bCs/>
          <w:sz w:val="16"/>
          <w:szCs w:val="16"/>
        </w:rPr>
        <w:t>private law</w:t>
      </w:r>
      <w:r w:rsidRPr="005E770B">
        <w:rPr>
          <w:rFonts w:ascii="Times New Roman" w:hAnsi="Times New Roman" w:cs="Times New Roman"/>
          <w:sz w:val="16"/>
          <w:szCs w:val="16"/>
        </w:rPr>
        <w:t xml:space="preserve">, and often heard economic disputes, disputes over sovereign rights, disputes between princes and provincial diets, and disputes between </w:t>
      </w:r>
      <w:r w:rsidRPr="005E770B">
        <w:rPr>
          <w:rFonts w:ascii="Times New Roman" w:hAnsi="Times New Roman" w:cs="Times New Roman"/>
          <w:b/>
          <w:bCs/>
          <w:sz w:val="16"/>
          <w:szCs w:val="16"/>
        </w:rPr>
        <w:t>landowners and subjects</w:t>
      </w:r>
      <w:r w:rsidRPr="005E770B">
        <w:rPr>
          <w:rFonts w:ascii="Times New Roman" w:hAnsi="Times New Roman" w:cs="Times New Roman"/>
          <w:sz w:val="16"/>
          <w:szCs w:val="16"/>
        </w:rPr>
        <w:t xml:space="preserve">. </w:t>
      </w:r>
    </w:p>
    <w:p w14:paraId="4789AC5D"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07A64DF2"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court processed also imperial privileges, issuing letters of safe conduct, passage, and protection, granted legitimation of </w:t>
      </w:r>
      <w:r w:rsidRPr="00772327">
        <w:rPr>
          <w:rFonts w:ascii="Times New Roman" w:hAnsi="Times New Roman" w:cs="Times New Roman"/>
          <w:sz w:val="16"/>
          <w:szCs w:val="16"/>
        </w:rPr>
        <w:t>bastard</w:t>
      </w:r>
      <w:r w:rsidRPr="005E770B">
        <w:rPr>
          <w:rFonts w:ascii="Times New Roman" w:hAnsi="Times New Roman" w:cs="Times New Roman"/>
          <w:sz w:val="16"/>
          <w:szCs w:val="16"/>
        </w:rPr>
        <w:t xml:space="preserve"> children, and confirmed various contracts and wills.</w:t>
      </w:r>
    </w:p>
    <w:p w14:paraId="1208EE72"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7BB0415C"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Aulic Council was meant to serve as a supreme court for the </w:t>
      </w:r>
      <w:r w:rsidRPr="00772327">
        <w:rPr>
          <w:rFonts w:ascii="Times New Roman" w:hAnsi="Times New Roman" w:cs="Times New Roman"/>
          <w:sz w:val="16"/>
          <w:szCs w:val="16"/>
        </w:rPr>
        <w:t>Habsburg crownlands</w:t>
      </w:r>
      <w:r w:rsidRPr="005E770B">
        <w:rPr>
          <w:rFonts w:ascii="Times New Roman" w:hAnsi="Times New Roman" w:cs="Times New Roman"/>
          <w:sz w:val="16"/>
          <w:szCs w:val="16"/>
        </w:rPr>
        <w:t xml:space="preserve">, but by the end of the 17th century, this was no longer the case, so most cases came from elsewhere in the Empire. </w:t>
      </w:r>
      <w:r w:rsidRPr="005E770B">
        <w:rPr>
          <w:rFonts w:ascii="Times New Roman" w:hAnsi="Times New Roman" w:cs="Times New Roman"/>
          <w:b/>
          <w:bCs/>
          <w:i/>
          <w:iCs/>
          <w:sz w:val="16"/>
          <w:szCs w:val="16"/>
        </w:rPr>
        <w:t xml:space="preserve">An exception to this were </w:t>
      </w:r>
      <w:r w:rsidRPr="00772327">
        <w:rPr>
          <w:rFonts w:ascii="Times New Roman" w:hAnsi="Times New Roman" w:cs="Times New Roman"/>
          <w:b/>
          <w:bCs/>
          <w:i/>
          <w:iCs/>
          <w:sz w:val="16"/>
          <w:szCs w:val="16"/>
        </w:rPr>
        <w:t>Jewish</w:t>
      </w:r>
      <w:r w:rsidRPr="005E770B">
        <w:rPr>
          <w:rFonts w:ascii="Times New Roman" w:hAnsi="Times New Roman" w:cs="Times New Roman"/>
          <w:b/>
          <w:bCs/>
          <w:i/>
          <w:iCs/>
          <w:sz w:val="16"/>
          <w:szCs w:val="16"/>
        </w:rPr>
        <w:t xml:space="preserve"> litigations, who were protected by the Holy Roman Emperor and as such could petition their complaints to the council, even if in the Habsburg crownlands.</w:t>
      </w:r>
      <w:r w:rsidRPr="005E770B">
        <w:rPr>
          <w:rFonts w:ascii="Times New Roman" w:hAnsi="Times New Roman" w:cs="Times New Roman"/>
          <w:sz w:val="16"/>
          <w:szCs w:val="16"/>
        </w:rPr>
        <w:t xml:space="preserve"> Oftentimes, Jewish businessmen would use the Aulic Council to sue princes for nonpayment of debts</w:t>
      </w:r>
    </w:p>
    <w:p w14:paraId="33C85E3C"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28D3E85C"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The Aulic Council also possessed the right to watch over finances of princes and deal with maladministration through the Debit Commission (</w:t>
      </w:r>
      <w:r w:rsidRPr="005E770B">
        <w:rPr>
          <w:rFonts w:ascii="Times New Roman" w:hAnsi="Times New Roman" w:cs="Times New Roman"/>
          <w:i/>
          <w:iCs/>
          <w:sz w:val="16"/>
          <w:szCs w:val="16"/>
          <w:lang w:val="de-DE"/>
        </w:rPr>
        <w:t>Debitkommissionen</w:t>
      </w:r>
      <w:r w:rsidRPr="005E770B">
        <w:rPr>
          <w:rFonts w:ascii="Times New Roman" w:hAnsi="Times New Roman" w:cs="Times New Roman"/>
          <w:sz w:val="16"/>
          <w:szCs w:val="16"/>
        </w:rPr>
        <w:t xml:space="preserve">). The court had the right to prevent princes or </w:t>
      </w:r>
      <w:r w:rsidRPr="00772327">
        <w:rPr>
          <w:rFonts w:ascii="Times New Roman" w:hAnsi="Times New Roman" w:cs="Times New Roman"/>
          <w:sz w:val="16"/>
          <w:szCs w:val="16"/>
        </w:rPr>
        <w:t>free cities</w:t>
      </w:r>
      <w:r w:rsidRPr="005E770B">
        <w:rPr>
          <w:rFonts w:ascii="Times New Roman" w:hAnsi="Times New Roman" w:cs="Times New Roman"/>
          <w:sz w:val="16"/>
          <w:szCs w:val="16"/>
        </w:rPr>
        <w:t xml:space="preserve"> from taking too much debt, by holding the power to authorize large loans</w:t>
      </w:r>
      <w:r>
        <w:rPr>
          <w:rFonts w:ascii="Times New Roman" w:hAnsi="Times New Roman" w:cs="Times New Roman"/>
          <w:sz w:val="16"/>
          <w:szCs w:val="16"/>
        </w:rPr>
        <w:t>, al</w:t>
      </w:r>
      <w:r w:rsidRPr="005E770B">
        <w:rPr>
          <w:rFonts w:ascii="Times New Roman" w:hAnsi="Times New Roman" w:cs="Times New Roman"/>
          <w:sz w:val="16"/>
          <w:szCs w:val="16"/>
        </w:rPr>
        <w:t xml:space="preserve">though this was often bypassed. If a prince defaulted, the council could appoint a commission that would take over the governing of the land until the debt was repaid. In this time, the prince would be granted a </w:t>
      </w:r>
      <w:r w:rsidRPr="00772327">
        <w:rPr>
          <w:rFonts w:ascii="Times New Roman" w:hAnsi="Times New Roman" w:cs="Times New Roman"/>
          <w:sz w:val="16"/>
          <w:szCs w:val="16"/>
        </w:rPr>
        <w:t>pension</w:t>
      </w:r>
      <w:r w:rsidRPr="005E770B">
        <w:rPr>
          <w:rFonts w:ascii="Times New Roman" w:hAnsi="Times New Roman" w:cs="Times New Roman"/>
          <w:sz w:val="16"/>
          <w:szCs w:val="16"/>
        </w:rPr>
        <w:t xml:space="preserve">. This was probably tolerated by the imperial princes since it enhanced their </w:t>
      </w:r>
      <w:r w:rsidRPr="00772327">
        <w:rPr>
          <w:rFonts w:ascii="Times New Roman" w:hAnsi="Times New Roman" w:cs="Times New Roman"/>
          <w:sz w:val="16"/>
          <w:szCs w:val="16"/>
        </w:rPr>
        <w:t>credit</w:t>
      </w:r>
      <w:r w:rsidRPr="005E770B">
        <w:rPr>
          <w:rFonts w:ascii="Times New Roman" w:hAnsi="Times New Roman" w:cs="Times New Roman"/>
          <w:sz w:val="16"/>
          <w:szCs w:val="16"/>
        </w:rPr>
        <w:t xml:space="preserve"> amongst lenders. Through its management of princely finances, the court saved many noble houses from financial ruin, such as the Dukes of </w:t>
      </w:r>
      <w:r w:rsidRPr="00772327">
        <w:rPr>
          <w:rFonts w:ascii="Times New Roman" w:hAnsi="Times New Roman" w:cs="Times New Roman"/>
          <w:sz w:val="16"/>
          <w:szCs w:val="16"/>
        </w:rPr>
        <w:t>Saxe-</w:t>
      </w:r>
      <w:proofErr w:type="spellStart"/>
      <w:r w:rsidRPr="00772327">
        <w:rPr>
          <w:rFonts w:ascii="Times New Roman" w:hAnsi="Times New Roman" w:cs="Times New Roman"/>
          <w:sz w:val="16"/>
          <w:szCs w:val="16"/>
        </w:rPr>
        <w:t>Hildburghausen</w:t>
      </w:r>
      <w:proofErr w:type="spellEnd"/>
      <w:r w:rsidRPr="005E770B">
        <w:rPr>
          <w:rFonts w:ascii="Times New Roman" w:hAnsi="Times New Roman" w:cs="Times New Roman"/>
          <w:sz w:val="16"/>
          <w:szCs w:val="16"/>
        </w:rPr>
        <w:t>.</w:t>
      </w:r>
    </w:p>
    <w:p w14:paraId="6485CC9D"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7C078FE7"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 The Aulic Council frequently intervened in the constitutions of Imperial Cities. Before and during the </w:t>
      </w:r>
      <w:r w:rsidRPr="00772327">
        <w:rPr>
          <w:rFonts w:ascii="Times New Roman" w:hAnsi="Times New Roman" w:cs="Times New Roman"/>
          <w:sz w:val="16"/>
          <w:szCs w:val="16"/>
        </w:rPr>
        <w:t>30 Years' War</w:t>
      </w:r>
      <w:r w:rsidRPr="005E770B">
        <w:rPr>
          <w:rFonts w:ascii="Times New Roman" w:hAnsi="Times New Roman" w:cs="Times New Roman"/>
          <w:sz w:val="16"/>
          <w:szCs w:val="16"/>
        </w:rPr>
        <w:t xml:space="preserve">, Emperors used the Aulic Council to achieve religious peace in the cities. This meant compromising municipal governments. The Peace of Westphalia changed this, by making the compromises unnecessary by establishing religious </w:t>
      </w:r>
      <w:proofErr w:type="gramStart"/>
      <w:r w:rsidRPr="005E770B">
        <w:rPr>
          <w:rFonts w:ascii="Times New Roman" w:hAnsi="Times New Roman" w:cs="Times New Roman"/>
          <w:sz w:val="16"/>
          <w:szCs w:val="16"/>
        </w:rPr>
        <w:t>status-quo</w:t>
      </w:r>
      <w:proofErr w:type="gramEnd"/>
      <w:r w:rsidRPr="005E770B">
        <w:rPr>
          <w:rFonts w:ascii="Times New Roman" w:hAnsi="Times New Roman" w:cs="Times New Roman"/>
          <w:sz w:val="16"/>
          <w:szCs w:val="16"/>
        </w:rPr>
        <w:t xml:space="preserve">, and this led to city citizens addressing many complaints to the Aulic Council. During Charles VI's reign, with guidance from Vice-Chancellor Schönborn, Imperial policy was attempting to make the administration in the Imperial Cities more uniform, and to tie them closer to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Examples of such include Aulic Council verdicts pertaining to constitutional conflict in </w:t>
      </w:r>
      <w:r w:rsidRPr="00772327">
        <w:rPr>
          <w:rFonts w:ascii="Times New Roman" w:hAnsi="Times New Roman" w:cs="Times New Roman"/>
          <w:sz w:val="16"/>
          <w:szCs w:val="16"/>
        </w:rPr>
        <w:t>Frankfurt</w:t>
      </w:r>
      <w:r w:rsidRPr="005E770B">
        <w:rPr>
          <w:rFonts w:ascii="Times New Roman" w:hAnsi="Times New Roman" w:cs="Times New Roman"/>
          <w:sz w:val="16"/>
          <w:szCs w:val="16"/>
        </w:rPr>
        <w:t xml:space="preserve"> and </w:t>
      </w:r>
      <w:r w:rsidRPr="00772327">
        <w:rPr>
          <w:rFonts w:ascii="Times New Roman" w:hAnsi="Times New Roman" w:cs="Times New Roman"/>
          <w:sz w:val="16"/>
          <w:szCs w:val="16"/>
        </w:rPr>
        <w:t>Augsburg</w:t>
      </w:r>
      <w:r w:rsidRPr="005E770B">
        <w:rPr>
          <w:rFonts w:ascii="Times New Roman" w:hAnsi="Times New Roman" w:cs="Times New Roman"/>
          <w:sz w:val="16"/>
          <w:szCs w:val="16"/>
        </w:rPr>
        <w:t xml:space="preserve">, which restricted the power of city governments in favor of the citizens. Leopold Auer states that this caused the Aulic Council to function almost like a "constitutional high </w:t>
      </w:r>
      <w:proofErr w:type="gramStart"/>
      <w:r w:rsidRPr="005E770B">
        <w:rPr>
          <w:rFonts w:ascii="Times New Roman" w:hAnsi="Times New Roman" w:cs="Times New Roman"/>
          <w:sz w:val="16"/>
          <w:szCs w:val="16"/>
        </w:rPr>
        <w:t>court</w:t>
      </w:r>
      <w:proofErr w:type="gramEnd"/>
      <w:r w:rsidRPr="005E770B">
        <w:rPr>
          <w:rFonts w:ascii="Times New Roman" w:hAnsi="Times New Roman" w:cs="Times New Roman"/>
          <w:sz w:val="16"/>
          <w:szCs w:val="16"/>
        </w:rPr>
        <w:t>.</w:t>
      </w:r>
    </w:p>
    <w:p w14:paraId="49288E33"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33E408FA" w14:textId="77777777" w:rsidR="00FA66A2"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Aulic Council, i.e., the appeals court, and the </w:t>
      </w:r>
      <w:r w:rsidRPr="005E770B">
        <w:rPr>
          <w:rFonts w:ascii="Times New Roman" w:hAnsi="Times New Roman" w:cs="Times New Roman"/>
          <w:i/>
          <w:iCs/>
          <w:sz w:val="16"/>
          <w:szCs w:val="16"/>
          <w:lang w:val="de-DE"/>
        </w:rPr>
        <w:t>Reichskammergericht</w:t>
      </w:r>
      <w:r w:rsidRPr="005E770B">
        <w:rPr>
          <w:rFonts w:ascii="Times New Roman" w:hAnsi="Times New Roman" w:cs="Times New Roman"/>
          <w:sz w:val="16"/>
          <w:szCs w:val="16"/>
        </w:rPr>
        <w:t xml:space="preserve"> both protected the rights of the people against local governments. The court's power could even bypass the </w:t>
      </w:r>
      <w:proofErr w:type="spellStart"/>
      <w:r w:rsidRPr="00772327">
        <w:rPr>
          <w:rFonts w:ascii="Times New Roman" w:hAnsi="Times New Roman" w:cs="Times New Roman"/>
          <w:sz w:val="16"/>
          <w:szCs w:val="16"/>
        </w:rPr>
        <w:t>Privilegium</w:t>
      </w:r>
      <w:proofErr w:type="spellEnd"/>
      <w:r w:rsidRPr="00772327">
        <w:rPr>
          <w:rFonts w:ascii="Times New Roman" w:hAnsi="Times New Roman" w:cs="Times New Roman"/>
          <w:sz w:val="16"/>
          <w:szCs w:val="16"/>
        </w:rPr>
        <w:t xml:space="preserve"> de non </w:t>
      </w:r>
      <w:proofErr w:type="spellStart"/>
      <w:r w:rsidRPr="00772327">
        <w:rPr>
          <w:rFonts w:ascii="Times New Roman" w:hAnsi="Times New Roman" w:cs="Times New Roman"/>
          <w:sz w:val="16"/>
          <w:szCs w:val="16"/>
        </w:rPr>
        <w:t>appellando</w:t>
      </w:r>
      <w:proofErr w:type="spellEnd"/>
      <w:r w:rsidRPr="005E770B">
        <w:rPr>
          <w:rFonts w:ascii="Times New Roman" w:hAnsi="Times New Roman" w:cs="Times New Roman"/>
          <w:sz w:val="16"/>
          <w:szCs w:val="16"/>
        </w:rPr>
        <w:t xml:space="preserve">, if the litigants could credibly show that they had been denied due process. </w:t>
      </w:r>
      <w:r w:rsidRPr="00772327">
        <w:rPr>
          <w:rFonts w:ascii="Times New Roman" w:hAnsi="Times New Roman" w:cs="Times New Roman"/>
          <w:sz w:val="16"/>
          <w:szCs w:val="16"/>
        </w:rPr>
        <w:t xml:space="preserve">Within the Holy Roman Empire, the </w:t>
      </w:r>
      <w:r w:rsidRPr="00772327">
        <w:rPr>
          <w:rFonts w:ascii="Times New Roman" w:hAnsi="Times New Roman" w:cs="Times New Roman"/>
          <w:b/>
          <w:bCs/>
          <w:i/>
          <w:iCs/>
          <w:sz w:val="16"/>
          <w:szCs w:val="16"/>
          <w:lang w:val="la-Latn"/>
        </w:rPr>
        <w:t>privilegium de non appellando</w:t>
      </w:r>
      <w:r w:rsidRPr="00772327">
        <w:rPr>
          <w:rFonts w:ascii="Times New Roman" w:hAnsi="Times New Roman" w:cs="Times New Roman"/>
          <w:sz w:val="16"/>
          <w:szCs w:val="16"/>
        </w:rPr>
        <w:t xml:space="preserve"> </w:t>
      </w:r>
      <w:r>
        <w:rPr>
          <w:rFonts w:ascii="Times New Roman" w:hAnsi="Times New Roman" w:cs="Times New Roman"/>
          <w:sz w:val="16"/>
          <w:szCs w:val="16"/>
        </w:rPr>
        <w:t xml:space="preserve">meaning </w:t>
      </w:r>
      <w:r w:rsidRPr="00772327">
        <w:rPr>
          <w:rFonts w:ascii="Times New Roman" w:hAnsi="Times New Roman" w:cs="Times New Roman"/>
          <w:sz w:val="16"/>
          <w:szCs w:val="16"/>
        </w:rPr>
        <w:t>privilege of not appealing</w:t>
      </w:r>
      <w:r>
        <w:rPr>
          <w:rFonts w:ascii="Times New Roman" w:hAnsi="Times New Roman" w:cs="Times New Roman"/>
          <w:sz w:val="16"/>
          <w:szCs w:val="16"/>
        </w:rPr>
        <w:t>,</w:t>
      </w:r>
      <w:r w:rsidRPr="00772327">
        <w:rPr>
          <w:rFonts w:ascii="Times New Roman" w:hAnsi="Times New Roman" w:cs="Times New Roman"/>
          <w:sz w:val="16"/>
          <w:szCs w:val="16"/>
        </w:rPr>
        <w:t xml:space="preserve"> was a privilege that could be granted by the </w:t>
      </w:r>
      <w:r>
        <w:rPr>
          <w:rFonts w:ascii="Times New Roman" w:hAnsi="Times New Roman" w:cs="Times New Roman"/>
          <w:sz w:val="16"/>
          <w:szCs w:val="16"/>
        </w:rPr>
        <w:t>Holy Roman E</w:t>
      </w:r>
      <w:r w:rsidRPr="00772327">
        <w:rPr>
          <w:rFonts w:ascii="Times New Roman" w:hAnsi="Times New Roman" w:cs="Times New Roman"/>
          <w:sz w:val="16"/>
          <w:szCs w:val="16"/>
        </w:rPr>
        <w:t>mperor to an imperial estate. It limited the right of an estate's subjects to appeal cases from territorial courts to either of the imperial supreme courts, the Imperial Chamber Court (</w:t>
      </w:r>
      <w:r w:rsidRPr="00772327">
        <w:rPr>
          <w:rFonts w:ascii="Times New Roman" w:hAnsi="Times New Roman" w:cs="Times New Roman"/>
          <w:i/>
          <w:iCs/>
          <w:sz w:val="16"/>
          <w:szCs w:val="16"/>
          <w:lang w:val="de-DE"/>
        </w:rPr>
        <w:t>Reichskammergericht</w:t>
      </w:r>
      <w:r w:rsidRPr="00772327">
        <w:rPr>
          <w:rFonts w:ascii="Times New Roman" w:hAnsi="Times New Roman" w:cs="Times New Roman"/>
          <w:sz w:val="16"/>
          <w:szCs w:val="16"/>
        </w:rPr>
        <w:t>) or the Imperial Aulic Council (</w:t>
      </w:r>
      <w:r w:rsidRPr="00772327">
        <w:rPr>
          <w:rFonts w:ascii="Times New Roman" w:hAnsi="Times New Roman" w:cs="Times New Roman"/>
          <w:i/>
          <w:iCs/>
          <w:sz w:val="16"/>
          <w:szCs w:val="16"/>
          <w:lang w:val="de-DE"/>
        </w:rPr>
        <w:t>Reichshofrat</w:t>
      </w:r>
      <w:r w:rsidRPr="00772327">
        <w:rPr>
          <w:rFonts w:ascii="Times New Roman" w:hAnsi="Times New Roman" w:cs="Times New Roman"/>
          <w:sz w:val="16"/>
          <w:szCs w:val="16"/>
        </w:rPr>
        <w:t>). The privilege itself could be limited (</w:t>
      </w:r>
      <w:r w:rsidRPr="00772327">
        <w:rPr>
          <w:rFonts w:ascii="Times New Roman" w:hAnsi="Times New Roman" w:cs="Times New Roman"/>
          <w:i/>
          <w:iCs/>
          <w:sz w:val="16"/>
          <w:szCs w:val="16"/>
          <w:lang w:val="la-Latn"/>
        </w:rPr>
        <w:t>limitatum</w:t>
      </w:r>
      <w:r w:rsidRPr="00772327">
        <w:rPr>
          <w:rFonts w:ascii="Times New Roman" w:hAnsi="Times New Roman" w:cs="Times New Roman"/>
          <w:sz w:val="16"/>
          <w:szCs w:val="16"/>
        </w:rPr>
        <w:t>) or unlimited (</w:t>
      </w:r>
      <w:r w:rsidRPr="00772327">
        <w:rPr>
          <w:rFonts w:ascii="Times New Roman" w:hAnsi="Times New Roman" w:cs="Times New Roman"/>
          <w:i/>
          <w:iCs/>
          <w:sz w:val="16"/>
          <w:szCs w:val="16"/>
          <w:lang w:val="la-Latn"/>
        </w:rPr>
        <w:t>illimitatum</w:t>
      </w:r>
      <w:r w:rsidRPr="00772327">
        <w:rPr>
          <w:rFonts w:ascii="Times New Roman" w:hAnsi="Times New Roman" w:cs="Times New Roman"/>
          <w:sz w:val="16"/>
          <w:szCs w:val="16"/>
        </w:rPr>
        <w:t>). When unlimited, it effectively turned the highest territorial court into a court of last resort</w:t>
      </w:r>
      <w:r>
        <w:rPr>
          <w:rFonts w:ascii="Times New Roman" w:hAnsi="Times New Roman" w:cs="Times New Roman"/>
          <w:sz w:val="16"/>
          <w:szCs w:val="16"/>
        </w:rPr>
        <w:t>.</w:t>
      </w:r>
    </w:p>
    <w:p w14:paraId="4E393F7A" w14:textId="77777777" w:rsidR="00FA66A2" w:rsidRPr="00772327"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0545114D" w14:textId="77777777" w:rsidR="00FA66A2" w:rsidRPr="00772327" w:rsidRDefault="00FA66A2" w:rsidP="00FA66A2">
      <w:pPr>
        <w:pStyle w:val="ListParagraph"/>
        <w:autoSpaceDE w:val="0"/>
        <w:autoSpaceDN w:val="0"/>
        <w:adjustRightInd w:val="0"/>
        <w:spacing w:after="0"/>
        <w:ind w:left="1075"/>
        <w:rPr>
          <w:rFonts w:ascii="Times New Roman" w:hAnsi="Times New Roman" w:cs="Times New Roman"/>
          <w:sz w:val="16"/>
          <w:szCs w:val="16"/>
        </w:rPr>
      </w:pPr>
      <w:r w:rsidRPr="00772327">
        <w:rPr>
          <w:rFonts w:ascii="Times New Roman" w:hAnsi="Times New Roman" w:cs="Times New Roman"/>
          <w:sz w:val="16"/>
          <w:szCs w:val="16"/>
        </w:rPr>
        <w:t xml:space="preserve">The privilege was highly prized by imperial estates, both because it lent prestige and because it furthered the integration of their administration by cutting off their judiciary from the rest of the Empire. Between the 16th and 18th century, virtually all the larger estates received the privilege. </w:t>
      </w:r>
      <w:r w:rsidRPr="00772327">
        <w:rPr>
          <w:rFonts w:ascii="Times New Roman" w:hAnsi="Times New Roman" w:cs="Times New Roman"/>
          <w:b/>
          <w:bCs/>
          <w:sz w:val="16"/>
          <w:szCs w:val="16"/>
        </w:rPr>
        <w:t>Almost all the Habsburg lands also had the privilege</w:t>
      </w:r>
      <w:r>
        <w:rPr>
          <w:rFonts w:ascii="Times New Roman" w:hAnsi="Times New Roman" w:cs="Times New Roman"/>
          <w:sz w:val="16"/>
          <w:szCs w:val="16"/>
        </w:rPr>
        <w:t xml:space="preserve">. </w:t>
      </w:r>
      <w:r w:rsidRPr="00772327">
        <w:rPr>
          <w:rFonts w:ascii="Times New Roman" w:hAnsi="Times New Roman" w:cs="Times New Roman"/>
          <w:sz w:val="16"/>
          <w:szCs w:val="16"/>
        </w:rPr>
        <w:t xml:space="preserve">Even the unlimited privilege was not in fact absolute. It did not apply when a subject was given no recourse to territorial courts </w:t>
      </w:r>
      <w:r>
        <w:rPr>
          <w:rFonts w:ascii="Times New Roman" w:hAnsi="Times New Roman" w:cs="Times New Roman"/>
          <w:sz w:val="16"/>
          <w:szCs w:val="16"/>
        </w:rPr>
        <w:t xml:space="preserve">causing </w:t>
      </w:r>
      <w:r w:rsidRPr="00772327">
        <w:rPr>
          <w:rFonts w:ascii="Times New Roman" w:hAnsi="Times New Roman" w:cs="Times New Roman"/>
          <w:sz w:val="16"/>
          <w:szCs w:val="16"/>
        </w:rPr>
        <w:t>refusal of justice</w:t>
      </w:r>
      <w:r>
        <w:rPr>
          <w:rFonts w:ascii="Times New Roman" w:hAnsi="Times New Roman" w:cs="Times New Roman"/>
          <w:sz w:val="16"/>
          <w:szCs w:val="16"/>
        </w:rPr>
        <w:t xml:space="preserve"> termed</w:t>
      </w:r>
      <w:r w:rsidRPr="00772327">
        <w:rPr>
          <w:rFonts w:ascii="Times New Roman" w:hAnsi="Times New Roman" w:cs="Times New Roman"/>
          <w:sz w:val="16"/>
          <w:szCs w:val="16"/>
        </w:rPr>
        <w:t xml:space="preserve"> </w:t>
      </w:r>
      <w:r w:rsidRPr="00772327">
        <w:rPr>
          <w:rFonts w:ascii="Times New Roman" w:hAnsi="Times New Roman" w:cs="Times New Roman"/>
          <w:i/>
          <w:iCs/>
          <w:sz w:val="16"/>
          <w:szCs w:val="16"/>
          <w:lang w:val="de-DE"/>
        </w:rPr>
        <w:t>Rechtsverweigerung</w:t>
      </w:r>
      <w:r w:rsidRPr="00772327">
        <w:rPr>
          <w:rFonts w:ascii="Times New Roman" w:hAnsi="Times New Roman" w:cs="Times New Roman"/>
          <w:sz w:val="16"/>
          <w:szCs w:val="16"/>
        </w:rPr>
        <w:t xml:space="preserve"> or when a ruler refused to implement a court decision </w:t>
      </w:r>
      <w:r>
        <w:rPr>
          <w:rFonts w:ascii="Times New Roman" w:hAnsi="Times New Roman" w:cs="Times New Roman"/>
          <w:sz w:val="16"/>
          <w:szCs w:val="16"/>
        </w:rPr>
        <w:t xml:space="preserve">causing </w:t>
      </w:r>
      <w:r w:rsidRPr="00772327">
        <w:rPr>
          <w:rFonts w:ascii="Times New Roman" w:hAnsi="Times New Roman" w:cs="Times New Roman"/>
          <w:sz w:val="16"/>
          <w:szCs w:val="16"/>
        </w:rPr>
        <w:t xml:space="preserve">delay of justice, </w:t>
      </w:r>
      <w:r w:rsidRPr="00772327">
        <w:rPr>
          <w:rFonts w:ascii="Times New Roman" w:hAnsi="Times New Roman" w:cs="Times New Roman"/>
          <w:i/>
          <w:iCs/>
          <w:sz w:val="16"/>
          <w:szCs w:val="16"/>
          <w:lang w:val="de-DE"/>
        </w:rPr>
        <w:t>Rechtsverzögerung</w:t>
      </w:r>
      <w:r w:rsidRPr="00772327">
        <w:rPr>
          <w:rFonts w:ascii="Times New Roman" w:hAnsi="Times New Roman" w:cs="Times New Roman"/>
          <w:sz w:val="16"/>
          <w:szCs w:val="16"/>
        </w:rPr>
        <w:t>). In such cases the subject could go to an imperial court.</w:t>
      </w:r>
    </w:p>
    <w:p w14:paraId="45B5729E" w14:textId="77777777" w:rsidR="00FA66A2" w:rsidRPr="00772327"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5CFAE15A"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Low funds and low social status did not hamper one from appealing to the court, as the Aulic Council was required to provide counsel free of charge</w:t>
      </w:r>
      <w:r>
        <w:rPr>
          <w:rFonts w:ascii="Times New Roman" w:hAnsi="Times New Roman" w:cs="Times New Roman"/>
          <w:sz w:val="16"/>
          <w:szCs w:val="16"/>
        </w:rPr>
        <w:t>. T</w:t>
      </w:r>
      <w:r w:rsidRPr="005E770B">
        <w:rPr>
          <w:rFonts w:ascii="Times New Roman" w:hAnsi="Times New Roman" w:cs="Times New Roman"/>
          <w:sz w:val="16"/>
          <w:szCs w:val="16"/>
        </w:rPr>
        <w:t xml:space="preserve">he </w:t>
      </w:r>
      <w:r w:rsidRPr="005E770B">
        <w:rPr>
          <w:rFonts w:ascii="Times New Roman" w:hAnsi="Times New Roman" w:cs="Times New Roman"/>
          <w:i/>
          <w:iCs/>
          <w:sz w:val="16"/>
          <w:szCs w:val="16"/>
          <w:lang w:val="de-DE"/>
        </w:rPr>
        <w:t>Reichskammergericht</w:t>
      </w:r>
      <w:r w:rsidRPr="005E770B">
        <w:rPr>
          <w:rFonts w:ascii="Times New Roman" w:hAnsi="Times New Roman" w:cs="Times New Roman"/>
          <w:sz w:val="16"/>
          <w:szCs w:val="16"/>
        </w:rPr>
        <w:t xml:space="preserve"> had a similar establishment. Peasants often sought audiences with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with some travelling from distant parts of the Empire.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would generally give a formulaic response: "You shall have justice" (</w:t>
      </w:r>
      <w:r w:rsidRPr="005E770B">
        <w:rPr>
          <w:rFonts w:ascii="Times New Roman" w:hAnsi="Times New Roman" w:cs="Times New Roman"/>
          <w:i/>
          <w:iCs/>
          <w:sz w:val="16"/>
          <w:szCs w:val="16"/>
          <w:lang w:val="de-DE"/>
        </w:rPr>
        <w:t>Euch wird Recht werden</w:t>
      </w:r>
      <w:r w:rsidRPr="005E770B">
        <w:rPr>
          <w:rFonts w:ascii="Times New Roman" w:hAnsi="Times New Roman" w:cs="Times New Roman"/>
          <w:sz w:val="16"/>
          <w:szCs w:val="16"/>
        </w:rPr>
        <w:t xml:space="preserve">), </w:t>
      </w:r>
      <w:r w:rsidRPr="005E770B">
        <w:rPr>
          <w:rFonts w:ascii="Times New Roman" w:hAnsi="Times New Roman" w:cs="Times New Roman"/>
          <w:sz w:val="16"/>
          <w:szCs w:val="16"/>
        </w:rPr>
        <w:lastRenderedPageBreak/>
        <w:t xml:space="preserve">before turning over the case to the Aulic Council. </w:t>
      </w:r>
      <w:r w:rsidRPr="005E770B">
        <w:rPr>
          <w:rFonts w:ascii="Times New Roman" w:hAnsi="Times New Roman" w:cs="Times New Roman"/>
          <w:b/>
          <w:bCs/>
          <w:sz w:val="16"/>
          <w:szCs w:val="16"/>
          <w:u w:val="single"/>
        </w:rPr>
        <w:t>The Aulic Council was not an unconditional defender of the rights of subjects. There were occasions where it sided with an overlord.</w:t>
      </w:r>
      <w:r w:rsidRPr="005E770B">
        <w:rPr>
          <w:rFonts w:ascii="Times New Roman" w:hAnsi="Times New Roman" w:cs="Times New Roman"/>
          <w:sz w:val="16"/>
          <w:szCs w:val="16"/>
        </w:rPr>
        <w:t xml:space="preserve"> </w:t>
      </w:r>
    </w:p>
    <w:p w14:paraId="1FA41E40" w14:textId="77777777" w:rsidR="00FA66A2" w:rsidRPr="00772327"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76294DF2"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In addition to the </w:t>
      </w:r>
      <w:proofErr w:type="gramStart"/>
      <w:r w:rsidRPr="005E770B">
        <w:rPr>
          <w:rFonts w:ascii="Times New Roman" w:hAnsi="Times New Roman" w:cs="Times New Roman"/>
          <w:sz w:val="16"/>
          <w:szCs w:val="16"/>
        </w:rPr>
        <w:t>aforementioned responsibilities</w:t>
      </w:r>
      <w:proofErr w:type="gramEnd"/>
      <w:r w:rsidRPr="005E770B">
        <w:rPr>
          <w:rFonts w:ascii="Times New Roman" w:hAnsi="Times New Roman" w:cs="Times New Roman"/>
          <w:sz w:val="16"/>
          <w:szCs w:val="16"/>
        </w:rPr>
        <w:t xml:space="preserve">, the Aulic Council also dealt with house pacts and family disputes. An example of this is the </w:t>
      </w:r>
      <w:r w:rsidRPr="005E770B">
        <w:rPr>
          <w:rFonts w:ascii="Times New Roman" w:hAnsi="Times New Roman" w:cs="Times New Roman"/>
          <w:i/>
          <w:iCs/>
          <w:sz w:val="16"/>
          <w:szCs w:val="16"/>
        </w:rPr>
        <w:t>Nassau Family Pact</w:t>
      </w:r>
      <w:r w:rsidRPr="005E770B">
        <w:rPr>
          <w:rFonts w:ascii="Times New Roman" w:hAnsi="Times New Roman" w:cs="Times New Roman"/>
          <w:sz w:val="16"/>
          <w:szCs w:val="16"/>
        </w:rPr>
        <w:t xml:space="preserve">, which was submitted to review by the Aulic Council. </w:t>
      </w:r>
    </w:p>
    <w:p w14:paraId="29A02ECF"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01307247" w14:textId="77777777" w:rsidR="00FA66A2" w:rsidRPr="005E770B" w:rsidRDefault="00FA66A2" w:rsidP="00FA66A2">
      <w:pPr>
        <w:pStyle w:val="ListParagraph"/>
        <w:autoSpaceDE w:val="0"/>
        <w:autoSpaceDN w:val="0"/>
        <w:adjustRightInd w:val="0"/>
        <w:spacing w:after="0"/>
        <w:ind w:left="1075"/>
        <w:rPr>
          <w:rFonts w:ascii="Times New Roman" w:hAnsi="Times New Roman" w:cs="Times New Roman"/>
          <w:sz w:val="16"/>
          <w:szCs w:val="16"/>
          <w:vertAlign w:val="superscript"/>
        </w:rPr>
      </w:pPr>
      <w:r w:rsidRPr="005E770B">
        <w:rPr>
          <w:rFonts w:ascii="Times New Roman" w:hAnsi="Times New Roman" w:cs="Times New Roman"/>
          <w:sz w:val="16"/>
          <w:szCs w:val="16"/>
        </w:rPr>
        <w:t xml:space="preserve">The </w:t>
      </w:r>
      <w:r w:rsidRPr="005E770B">
        <w:rPr>
          <w:rFonts w:ascii="Times New Roman" w:hAnsi="Times New Roman" w:cs="Times New Roman"/>
          <w:b/>
          <w:bCs/>
          <w:sz w:val="16"/>
          <w:szCs w:val="16"/>
        </w:rPr>
        <w:t>Nassau Family Pact</w:t>
      </w:r>
      <w:r w:rsidRPr="005E770B">
        <w:rPr>
          <w:rFonts w:ascii="Times New Roman" w:hAnsi="Times New Roman" w:cs="Times New Roman"/>
          <w:sz w:val="16"/>
          <w:szCs w:val="16"/>
        </w:rPr>
        <w:t xml:space="preserve"> was a mutual pact of inheritance and succession made in 1783 by princes of the House of Nassau. It confirmed that Salic Law was to operate in favor of all the agnatic lines of the family, specifically the two senior surviving lines which had originated in the Middle Ages, the </w:t>
      </w:r>
      <w:proofErr w:type="spellStart"/>
      <w:r w:rsidRPr="005E770B">
        <w:rPr>
          <w:rFonts w:ascii="Times New Roman" w:hAnsi="Times New Roman" w:cs="Times New Roman"/>
          <w:b/>
          <w:bCs/>
          <w:sz w:val="16"/>
          <w:szCs w:val="16"/>
        </w:rPr>
        <w:t>Walramian</w:t>
      </w:r>
      <w:proofErr w:type="spellEnd"/>
      <w:r w:rsidRPr="005E770B">
        <w:rPr>
          <w:rFonts w:ascii="Times New Roman" w:hAnsi="Times New Roman" w:cs="Times New Roman"/>
          <w:sz w:val="16"/>
          <w:szCs w:val="16"/>
        </w:rPr>
        <w:t xml:space="preserve"> and the </w:t>
      </w:r>
      <w:r w:rsidRPr="005E770B">
        <w:rPr>
          <w:rFonts w:ascii="Times New Roman" w:hAnsi="Times New Roman" w:cs="Times New Roman"/>
          <w:b/>
          <w:bCs/>
          <w:sz w:val="16"/>
          <w:szCs w:val="16"/>
        </w:rPr>
        <w:t>Ottonian</w:t>
      </w:r>
      <w:r w:rsidRPr="005E770B">
        <w:rPr>
          <w:rFonts w:ascii="Times New Roman" w:hAnsi="Times New Roman" w:cs="Times New Roman"/>
          <w:sz w:val="16"/>
          <w:szCs w:val="16"/>
        </w:rPr>
        <w:t xml:space="preserve">. The pact chiefly provided that in case of one of these lines becoming extinct, the other would succeed in its hereditary Nassau lands. In short, "the main concept of the pact was that if either the Ottonian or </w:t>
      </w:r>
      <w:proofErr w:type="spellStart"/>
      <w:r w:rsidRPr="005E770B">
        <w:rPr>
          <w:rFonts w:ascii="Times New Roman" w:hAnsi="Times New Roman" w:cs="Times New Roman"/>
          <w:sz w:val="16"/>
          <w:szCs w:val="16"/>
        </w:rPr>
        <w:t>Walramian</w:t>
      </w:r>
      <w:proofErr w:type="spellEnd"/>
      <w:r w:rsidRPr="005E770B">
        <w:rPr>
          <w:rFonts w:ascii="Times New Roman" w:hAnsi="Times New Roman" w:cs="Times New Roman"/>
          <w:sz w:val="16"/>
          <w:szCs w:val="16"/>
        </w:rPr>
        <w:t xml:space="preserve"> male line would become extinct the other line would succeed".</w:t>
      </w:r>
    </w:p>
    <w:p w14:paraId="3A9CAE50" w14:textId="77777777" w:rsidR="00FA66A2" w:rsidRPr="009C11A9" w:rsidRDefault="00FA66A2" w:rsidP="00FA66A2">
      <w:pPr>
        <w:pStyle w:val="ListParagraph"/>
        <w:autoSpaceDE w:val="0"/>
        <w:autoSpaceDN w:val="0"/>
        <w:adjustRightInd w:val="0"/>
        <w:spacing w:after="0"/>
        <w:ind w:left="1075"/>
        <w:rPr>
          <w:rFonts w:ascii="Times New Roman" w:hAnsi="Times New Roman" w:cs="Times New Roman"/>
          <w:sz w:val="8"/>
          <w:szCs w:val="8"/>
        </w:rPr>
      </w:pPr>
    </w:p>
    <w:p w14:paraId="27D80676" w14:textId="77777777" w:rsidR="00FA66A2" w:rsidRPr="005E770B" w:rsidRDefault="00FA66A2" w:rsidP="00FA66A2">
      <w:pPr>
        <w:pStyle w:val="ListParagraph"/>
        <w:autoSpaceDE w:val="0"/>
        <w:autoSpaceDN w:val="0"/>
        <w:adjustRightInd w:val="0"/>
        <w:spacing w:after="0"/>
        <w:ind w:left="1075"/>
        <w:rPr>
          <w:rFonts w:ascii="Times New Roman" w:hAnsi="Times New Roman" w:cs="Times New Roman"/>
          <w:sz w:val="16"/>
          <w:szCs w:val="16"/>
        </w:rPr>
      </w:pPr>
      <w:r w:rsidRPr="005E770B">
        <w:rPr>
          <w:rFonts w:ascii="Times New Roman" w:hAnsi="Times New Roman" w:cs="Times New Roman"/>
          <w:sz w:val="16"/>
          <w:szCs w:val="16"/>
        </w:rPr>
        <w:t xml:space="preserve">The pact was agreed to be applied to "Imperial fiefs" which meant those territories owned or acquired in the then Holy Roman Empire. The pact thus in 1890 determined the succession of the Grand Duchy of Luxembourg, a territory acquired into the dynasty only after the pact was sealed, but in exchange for the handing of some of the Nassau-lands of the Ottonian branch to Prussia and that at the time became a member of the German Confederation, a body that was regarded as the successor to the Holy Roman Empire. The pact did not apply to the succession in the Kingdom of the Netherlands, a state not regarded as formerly German. Luxembourg was thus inherited by the </w:t>
      </w:r>
      <w:proofErr w:type="spellStart"/>
      <w:r w:rsidRPr="005E770B">
        <w:rPr>
          <w:rFonts w:ascii="Times New Roman" w:hAnsi="Times New Roman" w:cs="Times New Roman"/>
          <w:sz w:val="16"/>
          <w:szCs w:val="16"/>
        </w:rPr>
        <w:t>Weilburg</w:t>
      </w:r>
      <w:proofErr w:type="spellEnd"/>
      <w:r w:rsidRPr="005E770B">
        <w:rPr>
          <w:rFonts w:ascii="Times New Roman" w:hAnsi="Times New Roman" w:cs="Times New Roman"/>
          <w:sz w:val="16"/>
          <w:szCs w:val="16"/>
        </w:rPr>
        <w:t xml:space="preserve"> branch, the only extant branch from that date onward.</w:t>
      </w:r>
    </w:p>
    <w:p w14:paraId="257CA22E" w14:textId="77777777" w:rsidR="00FA66A2" w:rsidRPr="009C11A9" w:rsidRDefault="00FA66A2" w:rsidP="00FA66A2">
      <w:pPr>
        <w:pStyle w:val="ListParagraph"/>
        <w:autoSpaceDE w:val="0"/>
        <w:autoSpaceDN w:val="0"/>
        <w:adjustRightInd w:val="0"/>
        <w:spacing w:after="0"/>
        <w:ind w:left="1075"/>
        <w:rPr>
          <w:rFonts w:ascii="Times New Roman" w:hAnsi="Times New Roman" w:cs="Times New Roman"/>
          <w:sz w:val="8"/>
          <w:szCs w:val="8"/>
        </w:rPr>
      </w:pPr>
    </w:p>
    <w:p w14:paraId="396672DD" w14:textId="77777777" w:rsidR="00FA66A2" w:rsidRPr="005E770B" w:rsidRDefault="00FA66A2" w:rsidP="00FA66A2">
      <w:pPr>
        <w:pStyle w:val="ListParagraph"/>
        <w:autoSpaceDE w:val="0"/>
        <w:autoSpaceDN w:val="0"/>
        <w:adjustRightInd w:val="0"/>
        <w:spacing w:after="0"/>
        <w:ind w:left="1075"/>
        <w:rPr>
          <w:rFonts w:ascii="Times New Roman" w:hAnsi="Times New Roman" w:cs="Times New Roman"/>
          <w:sz w:val="16"/>
          <w:szCs w:val="16"/>
        </w:rPr>
      </w:pPr>
      <w:r w:rsidRPr="005E770B">
        <w:rPr>
          <w:rFonts w:ascii="Times New Roman" w:hAnsi="Times New Roman" w:cs="Times New Roman"/>
          <w:sz w:val="16"/>
          <w:szCs w:val="16"/>
        </w:rPr>
        <w:t xml:space="preserve">In 1907, the Grand Duke of Luxembourg, William IV, head of the House of Nassau, determined that the branch of the Count of </w:t>
      </w:r>
      <w:proofErr w:type="spellStart"/>
      <w:r w:rsidRPr="005E770B">
        <w:rPr>
          <w:rFonts w:ascii="Times New Roman" w:hAnsi="Times New Roman" w:cs="Times New Roman"/>
          <w:sz w:val="16"/>
          <w:szCs w:val="16"/>
        </w:rPr>
        <w:t>Merenberg</w:t>
      </w:r>
      <w:proofErr w:type="spellEnd"/>
      <w:r w:rsidRPr="005E770B">
        <w:rPr>
          <w:rFonts w:ascii="Times New Roman" w:hAnsi="Times New Roman" w:cs="Times New Roman"/>
          <w:sz w:val="16"/>
          <w:szCs w:val="16"/>
        </w:rPr>
        <w:t xml:space="preserve"> was, as morganatic, incapable to succeed to the sovereignty of the House of Nassau. This effectively meant that the Grand Duke himself was then the only surviving agnate of the House. Having himself only daughters, he felt the need to organize the succession further and remedy some of the undefined points. In April 1907 the Grand Duke decreed, which was approved in July 1907 by legislature of Luxembourg and thereafter enacted amendments to the </w:t>
      </w:r>
      <w:r w:rsidRPr="005E770B">
        <w:rPr>
          <w:rFonts w:ascii="Times New Roman" w:hAnsi="Times New Roman" w:cs="Times New Roman"/>
          <w:i/>
          <w:iCs/>
          <w:sz w:val="16"/>
          <w:szCs w:val="16"/>
        </w:rPr>
        <w:t>house law of Nassau</w:t>
      </w:r>
      <w:r w:rsidRPr="005E770B">
        <w:rPr>
          <w:rFonts w:ascii="Times New Roman" w:hAnsi="Times New Roman" w:cs="Times New Roman"/>
          <w:sz w:val="16"/>
          <w:szCs w:val="16"/>
        </w:rPr>
        <w:t xml:space="preserve">. </w:t>
      </w:r>
    </w:p>
    <w:p w14:paraId="2A514BF2" w14:textId="77777777" w:rsidR="00FA66A2" w:rsidRPr="009C11A9" w:rsidRDefault="00FA66A2" w:rsidP="00FA66A2">
      <w:pPr>
        <w:pStyle w:val="ListParagraph"/>
        <w:autoSpaceDE w:val="0"/>
        <w:autoSpaceDN w:val="0"/>
        <w:adjustRightInd w:val="0"/>
        <w:spacing w:after="0"/>
        <w:ind w:left="1075"/>
        <w:rPr>
          <w:rFonts w:ascii="Times New Roman" w:hAnsi="Times New Roman" w:cs="Times New Roman"/>
          <w:sz w:val="8"/>
          <w:szCs w:val="8"/>
        </w:rPr>
      </w:pPr>
    </w:p>
    <w:p w14:paraId="0BDB5D95" w14:textId="77777777" w:rsidR="00FA66A2" w:rsidRPr="005E770B" w:rsidRDefault="00FA66A2" w:rsidP="00FA66A2">
      <w:pPr>
        <w:pStyle w:val="ListParagraph"/>
        <w:autoSpaceDE w:val="0"/>
        <w:autoSpaceDN w:val="0"/>
        <w:adjustRightInd w:val="0"/>
        <w:spacing w:after="0"/>
        <w:ind w:left="1075"/>
        <w:rPr>
          <w:rFonts w:ascii="Times New Roman" w:hAnsi="Times New Roman" w:cs="Times New Roman"/>
          <w:sz w:val="16"/>
          <w:szCs w:val="16"/>
        </w:rPr>
      </w:pPr>
      <w:r w:rsidRPr="005E770B">
        <w:rPr>
          <w:rFonts w:ascii="Times New Roman" w:hAnsi="Times New Roman" w:cs="Times New Roman"/>
          <w:sz w:val="16"/>
          <w:szCs w:val="16"/>
        </w:rPr>
        <w:t xml:space="preserve">The succession law thus amended governs the current succession in Luxembourg, and apparently the succession specifically provided by the pact itself is fulfilled and its impact is exhausted. </w:t>
      </w:r>
      <w:r w:rsidRPr="005E770B">
        <w:rPr>
          <w:rFonts w:ascii="Times New Roman" w:hAnsi="Times New Roman" w:cs="Times New Roman"/>
          <w:b/>
          <w:bCs/>
          <w:sz w:val="16"/>
          <w:szCs w:val="16"/>
        </w:rPr>
        <w:t>Marie-Adélaïde</w:t>
      </w:r>
      <w:r w:rsidRPr="005E770B">
        <w:rPr>
          <w:rFonts w:ascii="Times New Roman" w:hAnsi="Times New Roman" w:cs="Times New Roman"/>
          <w:sz w:val="16"/>
          <w:szCs w:val="16"/>
        </w:rPr>
        <w:t xml:space="preserve"> succeeded according to the 1907 law, an outcome that was identical with the stipulations of the pact. </w:t>
      </w:r>
      <w:proofErr w:type="gramStart"/>
      <w:r w:rsidRPr="005E770B">
        <w:rPr>
          <w:rFonts w:ascii="Times New Roman" w:hAnsi="Times New Roman" w:cs="Times New Roman"/>
          <w:sz w:val="16"/>
          <w:szCs w:val="16"/>
        </w:rPr>
        <w:t>In the event that</w:t>
      </w:r>
      <w:proofErr w:type="gramEnd"/>
      <w:r w:rsidRPr="005E770B">
        <w:rPr>
          <w:rFonts w:ascii="Times New Roman" w:hAnsi="Times New Roman" w:cs="Times New Roman"/>
          <w:sz w:val="16"/>
          <w:szCs w:val="16"/>
        </w:rPr>
        <w:t xml:space="preserve"> any successions of the House of Nassau outside Luxembourg to need to be adjudicated afterwards, it is unclear what the pact would provide — whether a line identical with that of modern Luxembourg's, or different.</w:t>
      </w:r>
    </w:p>
    <w:p w14:paraId="79A1C85C" w14:textId="77777777" w:rsidR="00FA66A2" w:rsidRPr="009C11A9" w:rsidRDefault="00FA66A2" w:rsidP="00FA66A2">
      <w:pPr>
        <w:pStyle w:val="ListParagraph"/>
        <w:autoSpaceDE w:val="0"/>
        <w:autoSpaceDN w:val="0"/>
        <w:adjustRightInd w:val="0"/>
        <w:spacing w:after="0"/>
        <w:ind w:left="1075"/>
        <w:rPr>
          <w:rFonts w:ascii="Times New Roman" w:hAnsi="Times New Roman" w:cs="Times New Roman"/>
          <w:sz w:val="8"/>
          <w:szCs w:val="8"/>
        </w:rPr>
      </w:pPr>
    </w:p>
    <w:p w14:paraId="4E906A35"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b/>
          <w:bCs/>
          <w:sz w:val="16"/>
          <w:szCs w:val="16"/>
        </w:rPr>
        <w:t>House laws</w:t>
      </w:r>
      <w:r w:rsidRPr="005E770B">
        <w:rPr>
          <w:rFonts w:ascii="Times New Roman" w:hAnsi="Times New Roman" w:cs="Times New Roman"/>
          <w:sz w:val="16"/>
          <w:szCs w:val="16"/>
        </w:rPr>
        <w:t xml:space="preserve"> </w:t>
      </w:r>
      <w:r>
        <w:rPr>
          <w:rFonts w:ascii="Times New Roman" w:hAnsi="Times New Roman" w:cs="Times New Roman"/>
          <w:sz w:val="16"/>
          <w:szCs w:val="16"/>
        </w:rPr>
        <w:t xml:space="preserve">in </w:t>
      </w:r>
      <w:r w:rsidRPr="00772327">
        <w:rPr>
          <w:rFonts w:ascii="Times New Roman" w:hAnsi="Times New Roman" w:cs="Times New Roman"/>
          <w:sz w:val="16"/>
          <w:szCs w:val="16"/>
        </w:rPr>
        <w:t>German</w:t>
      </w:r>
      <w:r w:rsidRPr="005E770B">
        <w:rPr>
          <w:rFonts w:ascii="Times New Roman" w:hAnsi="Times New Roman" w:cs="Times New Roman"/>
          <w:sz w:val="16"/>
          <w:szCs w:val="16"/>
        </w:rPr>
        <w:t xml:space="preserve">: </w:t>
      </w:r>
      <w:r w:rsidRPr="005E770B">
        <w:rPr>
          <w:rFonts w:ascii="Times New Roman" w:hAnsi="Times New Roman" w:cs="Times New Roman"/>
          <w:i/>
          <w:iCs/>
          <w:sz w:val="16"/>
          <w:szCs w:val="16"/>
          <w:lang w:val="de-DE"/>
        </w:rPr>
        <w:t>Hausgesetze</w:t>
      </w:r>
      <w:r w:rsidRPr="005E770B">
        <w:rPr>
          <w:rFonts w:ascii="Times New Roman" w:hAnsi="Times New Roman" w:cs="Times New Roman"/>
          <w:sz w:val="16"/>
          <w:szCs w:val="16"/>
        </w:rPr>
        <w:t xml:space="preserve"> are rules that govern a </w:t>
      </w:r>
      <w:r w:rsidRPr="00772327">
        <w:rPr>
          <w:rFonts w:ascii="Times New Roman" w:hAnsi="Times New Roman" w:cs="Times New Roman"/>
          <w:sz w:val="16"/>
          <w:szCs w:val="16"/>
        </w:rPr>
        <w:t>royal family</w:t>
      </w:r>
      <w:r w:rsidRPr="005E770B">
        <w:rPr>
          <w:rFonts w:ascii="Times New Roman" w:hAnsi="Times New Roman" w:cs="Times New Roman"/>
          <w:sz w:val="16"/>
          <w:szCs w:val="16"/>
        </w:rPr>
        <w:t xml:space="preserve"> or </w:t>
      </w:r>
      <w:r w:rsidRPr="00772327">
        <w:rPr>
          <w:rFonts w:ascii="Times New Roman" w:hAnsi="Times New Roman" w:cs="Times New Roman"/>
          <w:sz w:val="16"/>
          <w:szCs w:val="16"/>
        </w:rPr>
        <w:t>dynasty</w:t>
      </w:r>
      <w:r w:rsidRPr="005E770B">
        <w:rPr>
          <w:rFonts w:ascii="Times New Roman" w:hAnsi="Times New Roman" w:cs="Times New Roman"/>
          <w:sz w:val="16"/>
          <w:szCs w:val="16"/>
        </w:rPr>
        <w:t xml:space="preserve"> in matters of eligibility for </w:t>
      </w:r>
      <w:r w:rsidRPr="00772327">
        <w:rPr>
          <w:rFonts w:ascii="Times New Roman" w:hAnsi="Times New Roman" w:cs="Times New Roman"/>
          <w:sz w:val="16"/>
          <w:szCs w:val="16"/>
        </w:rPr>
        <w:t>succession to a throne</w:t>
      </w:r>
      <w:r w:rsidRPr="005E770B">
        <w:rPr>
          <w:rFonts w:ascii="Times New Roman" w:hAnsi="Times New Roman" w:cs="Times New Roman"/>
          <w:sz w:val="16"/>
          <w:szCs w:val="16"/>
        </w:rPr>
        <w:t xml:space="preserve">, membership in a dynasty, exercise of a </w:t>
      </w:r>
      <w:r w:rsidRPr="00772327">
        <w:rPr>
          <w:rFonts w:ascii="Times New Roman" w:hAnsi="Times New Roman" w:cs="Times New Roman"/>
          <w:sz w:val="16"/>
          <w:szCs w:val="16"/>
        </w:rPr>
        <w:t>regency</w:t>
      </w:r>
      <w:r w:rsidRPr="005E770B">
        <w:rPr>
          <w:rFonts w:ascii="Times New Roman" w:hAnsi="Times New Roman" w:cs="Times New Roman"/>
          <w:sz w:val="16"/>
          <w:szCs w:val="16"/>
        </w:rPr>
        <w:t xml:space="preserve">, or entitlement to dynastic </w:t>
      </w:r>
      <w:r w:rsidRPr="00772327">
        <w:rPr>
          <w:rFonts w:ascii="Times New Roman" w:hAnsi="Times New Roman" w:cs="Times New Roman"/>
          <w:sz w:val="16"/>
          <w:szCs w:val="16"/>
        </w:rPr>
        <w:t>rank</w:t>
      </w:r>
      <w:r w:rsidRPr="005E770B">
        <w:rPr>
          <w:rFonts w:ascii="Times New Roman" w:hAnsi="Times New Roman" w:cs="Times New Roman"/>
          <w:sz w:val="16"/>
          <w:szCs w:val="16"/>
        </w:rPr>
        <w:t xml:space="preserve">, </w:t>
      </w:r>
      <w:r w:rsidRPr="00772327">
        <w:rPr>
          <w:rFonts w:ascii="Times New Roman" w:hAnsi="Times New Roman" w:cs="Times New Roman"/>
          <w:sz w:val="16"/>
          <w:szCs w:val="16"/>
        </w:rPr>
        <w:t>titles</w:t>
      </w:r>
      <w:r w:rsidRPr="005E770B">
        <w:rPr>
          <w:rFonts w:ascii="Times New Roman" w:hAnsi="Times New Roman" w:cs="Times New Roman"/>
          <w:sz w:val="16"/>
          <w:szCs w:val="16"/>
        </w:rPr>
        <w:t xml:space="preserve"> and </w:t>
      </w:r>
      <w:r w:rsidRPr="00772327">
        <w:rPr>
          <w:rFonts w:ascii="Times New Roman" w:hAnsi="Times New Roman" w:cs="Times New Roman"/>
          <w:sz w:val="16"/>
          <w:szCs w:val="16"/>
        </w:rPr>
        <w:t>styles</w:t>
      </w:r>
      <w:r w:rsidRPr="005E770B">
        <w:rPr>
          <w:rFonts w:ascii="Times New Roman" w:hAnsi="Times New Roman" w:cs="Times New Roman"/>
          <w:sz w:val="16"/>
          <w:szCs w:val="16"/>
        </w:rPr>
        <w:t xml:space="preserve">. Prevalent in </w:t>
      </w:r>
      <w:r w:rsidRPr="00772327">
        <w:rPr>
          <w:rFonts w:ascii="Times New Roman" w:hAnsi="Times New Roman" w:cs="Times New Roman"/>
          <w:sz w:val="16"/>
          <w:szCs w:val="16"/>
        </w:rPr>
        <w:t>European monarchies</w:t>
      </w:r>
      <w:r w:rsidRPr="005E770B">
        <w:rPr>
          <w:rFonts w:ascii="Times New Roman" w:hAnsi="Times New Roman" w:cs="Times New Roman"/>
          <w:sz w:val="16"/>
          <w:szCs w:val="16"/>
        </w:rPr>
        <w:t xml:space="preserve"> during the nineteenth century, few countries have house laws any longer, so that they are, as a category of law, of more historical than current significance. If applied today, house laws are mostly upheld by members of royal and princely families as a matter of </w:t>
      </w:r>
      <w:r w:rsidRPr="00772327">
        <w:rPr>
          <w:rFonts w:ascii="Times New Roman" w:hAnsi="Times New Roman" w:cs="Times New Roman"/>
          <w:sz w:val="16"/>
          <w:szCs w:val="16"/>
        </w:rPr>
        <w:t>tradition</w:t>
      </w:r>
      <w:r w:rsidRPr="005E770B">
        <w:rPr>
          <w:rFonts w:ascii="Times New Roman" w:hAnsi="Times New Roman" w:cs="Times New Roman"/>
          <w:sz w:val="16"/>
          <w:szCs w:val="16"/>
        </w:rPr>
        <w:t xml:space="preserve">. Some dynasties have </w:t>
      </w:r>
      <w:r w:rsidRPr="00772327">
        <w:rPr>
          <w:rFonts w:ascii="Times New Roman" w:hAnsi="Times New Roman" w:cs="Times New Roman"/>
          <w:sz w:val="16"/>
          <w:szCs w:val="16"/>
        </w:rPr>
        <w:t>codified</w:t>
      </w:r>
      <w:r w:rsidRPr="005E770B">
        <w:rPr>
          <w:rFonts w:ascii="Times New Roman" w:hAnsi="Times New Roman" w:cs="Times New Roman"/>
          <w:sz w:val="16"/>
          <w:szCs w:val="16"/>
        </w:rPr>
        <w:t xml:space="preserve"> house laws, which then form a distinct section of the laws of the </w:t>
      </w:r>
      <w:r w:rsidRPr="00772327">
        <w:rPr>
          <w:rFonts w:ascii="Times New Roman" w:hAnsi="Times New Roman" w:cs="Times New Roman"/>
          <w:sz w:val="16"/>
          <w:szCs w:val="16"/>
        </w:rPr>
        <w:t>realm</w:t>
      </w:r>
      <w:r w:rsidRPr="005E770B">
        <w:rPr>
          <w:rFonts w:ascii="Times New Roman" w:hAnsi="Times New Roman" w:cs="Times New Roman"/>
          <w:sz w:val="16"/>
          <w:szCs w:val="16"/>
        </w:rPr>
        <w:t xml:space="preserve">, e.g., </w:t>
      </w:r>
      <w:r w:rsidRPr="00772327">
        <w:rPr>
          <w:rFonts w:ascii="Times New Roman" w:hAnsi="Times New Roman" w:cs="Times New Roman"/>
          <w:sz w:val="16"/>
          <w:szCs w:val="16"/>
        </w:rPr>
        <w:t>Monaco</w:t>
      </w:r>
      <w:r w:rsidRPr="005E770B">
        <w:rPr>
          <w:rFonts w:ascii="Times New Roman" w:hAnsi="Times New Roman" w:cs="Times New Roman"/>
          <w:sz w:val="16"/>
          <w:szCs w:val="16"/>
        </w:rPr>
        <w:t xml:space="preserve">, </w:t>
      </w:r>
      <w:r w:rsidRPr="00772327">
        <w:rPr>
          <w:rFonts w:ascii="Times New Roman" w:hAnsi="Times New Roman" w:cs="Times New Roman"/>
          <w:sz w:val="16"/>
          <w:szCs w:val="16"/>
        </w:rPr>
        <w:t>Japan</w:t>
      </w:r>
      <w:r w:rsidRPr="005E770B">
        <w:rPr>
          <w:rFonts w:ascii="Times New Roman" w:hAnsi="Times New Roman" w:cs="Times New Roman"/>
          <w:sz w:val="16"/>
          <w:szCs w:val="16"/>
        </w:rPr>
        <w:t xml:space="preserve">, </w:t>
      </w:r>
      <w:r w:rsidRPr="00772327">
        <w:rPr>
          <w:rFonts w:ascii="Times New Roman" w:hAnsi="Times New Roman" w:cs="Times New Roman"/>
          <w:sz w:val="16"/>
          <w:szCs w:val="16"/>
        </w:rPr>
        <w:t>Liechtenstein</w:t>
      </w:r>
      <w:r w:rsidRPr="005E770B">
        <w:rPr>
          <w:rFonts w:ascii="Times New Roman" w:hAnsi="Times New Roman" w:cs="Times New Roman"/>
          <w:sz w:val="16"/>
          <w:szCs w:val="16"/>
        </w:rPr>
        <w:t xml:space="preserve"> and, formerly, most of Germany's principalities, as well as </w:t>
      </w:r>
      <w:r w:rsidRPr="00772327">
        <w:rPr>
          <w:rFonts w:ascii="Times New Roman" w:hAnsi="Times New Roman" w:cs="Times New Roman"/>
          <w:sz w:val="16"/>
          <w:szCs w:val="16"/>
        </w:rPr>
        <w:t>Austria</w:t>
      </w:r>
      <w:r w:rsidRPr="005E770B">
        <w:rPr>
          <w:rFonts w:ascii="Times New Roman" w:hAnsi="Times New Roman" w:cs="Times New Roman"/>
          <w:sz w:val="16"/>
          <w:szCs w:val="16"/>
        </w:rPr>
        <w:t xml:space="preserve"> and </w:t>
      </w:r>
      <w:r w:rsidRPr="00772327">
        <w:rPr>
          <w:rFonts w:ascii="Times New Roman" w:hAnsi="Times New Roman" w:cs="Times New Roman"/>
          <w:sz w:val="16"/>
          <w:szCs w:val="16"/>
        </w:rPr>
        <w:t>Russia</w:t>
      </w:r>
      <w:r w:rsidRPr="005E770B">
        <w:rPr>
          <w:rFonts w:ascii="Times New Roman" w:hAnsi="Times New Roman" w:cs="Times New Roman"/>
          <w:sz w:val="16"/>
          <w:szCs w:val="16"/>
        </w:rPr>
        <w:t xml:space="preserve">. Other monarchies had few laws regulating royal life. In still others, whatever laws existed were not gathered in any </w:t>
      </w:r>
      <w:proofErr w:type="gramStart"/>
      <w:r w:rsidRPr="005E770B">
        <w:rPr>
          <w:rFonts w:ascii="Times New Roman" w:hAnsi="Times New Roman" w:cs="Times New Roman"/>
          <w:sz w:val="16"/>
          <w:szCs w:val="16"/>
        </w:rPr>
        <w:t>particular section</w:t>
      </w:r>
      <w:proofErr w:type="gramEnd"/>
      <w:r w:rsidRPr="005E770B">
        <w:rPr>
          <w:rFonts w:ascii="Times New Roman" w:hAnsi="Times New Roman" w:cs="Times New Roman"/>
          <w:sz w:val="16"/>
          <w:szCs w:val="16"/>
        </w:rPr>
        <w:t xml:space="preserve"> of the nation's laws. In Germany, where many dynasties reigned as more or less independent sovereigns, laws governing dynastic rights constituted a distinct branch of </w:t>
      </w:r>
      <w:r w:rsidRPr="00772327">
        <w:rPr>
          <w:rFonts w:ascii="Times New Roman" w:hAnsi="Times New Roman" w:cs="Times New Roman"/>
          <w:sz w:val="16"/>
          <w:szCs w:val="16"/>
        </w:rPr>
        <w:t>jurisprudence</w:t>
      </w:r>
      <w:r w:rsidRPr="005E770B">
        <w:rPr>
          <w:rFonts w:ascii="Times New Roman" w:hAnsi="Times New Roman" w:cs="Times New Roman"/>
          <w:sz w:val="16"/>
          <w:szCs w:val="16"/>
        </w:rPr>
        <w:t xml:space="preserve"> called private princely law (</w:t>
      </w:r>
      <w:r w:rsidRPr="005E770B">
        <w:rPr>
          <w:rFonts w:ascii="Times New Roman" w:hAnsi="Times New Roman" w:cs="Times New Roman"/>
          <w:i/>
          <w:iCs/>
          <w:sz w:val="16"/>
          <w:szCs w:val="16"/>
          <w:lang w:val="de-DE"/>
        </w:rPr>
        <w:t>Privatfürstenrecht</w:t>
      </w:r>
      <w:r w:rsidRPr="005E770B">
        <w:rPr>
          <w:rFonts w:ascii="Times New Roman" w:hAnsi="Times New Roman" w:cs="Times New Roman"/>
          <w:sz w:val="16"/>
          <w:szCs w:val="16"/>
        </w:rPr>
        <w:t>). The house laws of the German ruling families had a direct influence on Scandinavian kingdoms including Denmark and Sweden.</w:t>
      </w:r>
    </w:p>
    <w:p w14:paraId="1547459A" w14:textId="77777777" w:rsidR="00FA66A2" w:rsidRPr="009C11A9" w:rsidRDefault="00FA66A2" w:rsidP="00FA66A2">
      <w:pPr>
        <w:autoSpaceDE w:val="0"/>
        <w:autoSpaceDN w:val="0"/>
        <w:adjustRightInd w:val="0"/>
        <w:spacing w:after="0"/>
        <w:rPr>
          <w:rFonts w:ascii="Times New Roman" w:hAnsi="Times New Roman" w:cs="Times New Roman"/>
          <w:sz w:val="8"/>
          <w:szCs w:val="8"/>
        </w:rPr>
      </w:pPr>
    </w:p>
    <w:p w14:paraId="6A45F052"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Where they have existed, dynastic house laws have often been extraordinary compared to other national laws. The house laws of the families of the Austrian and German emperors were not made public until after the fall of the monarchy in 1918. Luxembourg's grand duke has made modifications to his country's dynastic law that remain unknown to the public at present. Russia's house laws were applied—or not—at the tsar's discretion. Even today, the house laws of the dynasty that has exclusive right to succeed to the throne of </w:t>
      </w:r>
      <w:r w:rsidRPr="00772327">
        <w:rPr>
          <w:rFonts w:ascii="Times New Roman" w:hAnsi="Times New Roman" w:cs="Times New Roman"/>
          <w:sz w:val="16"/>
          <w:szCs w:val="16"/>
        </w:rPr>
        <w:t>Liechtenstein</w:t>
      </w:r>
      <w:r w:rsidRPr="005E770B">
        <w:rPr>
          <w:rFonts w:ascii="Times New Roman" w:hAnsi="Times New Roman" w:cs="Times New Roman"/>
          <w:sz w:val="16"/>
          <w:szCs w:val="16"/>
        </w:rPr>
        <w:t xml:space="preserve"> may not be amended by either the </w:t>
      </w:r>
      <w:r w:rsidRPr="00772327">
        <w:rPr>
          <w:rFonts w:ascii="Times New Roman" w:hAnsi="Times New Roman" w:cs="Times New Roman"/>
          <w:sz w:val="16"/>
          <w:szCs w:val="16"/>
        </w:rPr>
        <w:t>parliament</w:t>
      </w:r>
      <w:r w:rsidRPr="005E770B">
        <w:rPr>
          <w:rFonts w:ascii="Times New Roman" w:hAnsi="Times New Roman" w:cs="Times New Roman"/>
          <w:sz w:val="16"/>
          <w:szCs w:val="16"/>
        </w:rPr>
        <w:t xml:space="preserve"> or </w:t>
      </w:r>
      <w:r w:rsidRPr="00772327">
        <w:rPr>
          <w:rFonts w:ascii="Times New Roman" w:hAnsi="Times New Roman" w:cs="Times New Roman"/>
          <w:sz w:val="16"/>
          <w:szCs w:val="16"/>
        </w:rPr>
        <w:t>populace</w:t>
      </w:r>
      <w:r w:rsidRPr="005E770B">
        <w:rPr>
          <w:rFonts w:ascii="Times New Roman" w:hAnsi="Times New Roman" w:cs="Times New Roman"/>
          <w:sz w:val="16"/>
          <w:szCs w:val="16"/>
        </w:rPr>
        <w:t xml:space="preserve"> of the principality, and until the late 1990s the reigning Prince could not be dethroned except according to the house law—which stipulated that ouster was only possible by a vote of his own family members. Such house laws and the dynastic rules which deny parliaments or other democratic bodies any role in determining them, are obviously problematic for constitutional monarchies like those now found in many modern European nations.</w:t>
      </w:r>
    </w:p>
    <w:p w14:paraId="18216FA7" w14:textId="77777777" w:rsidR="00FA66A2" w:rsidRPr="009C11A9" w:rsidRDefault="00FA66A2" w:rsidP="00FA66A2">
      <w:pPr>
        <w:autoSpaceDE w:val="0"/>
        <w:autoSpaceDN w:val="0"/>
        <w:adjustRightInd w:val="0"/>
        <w:spacing w:after="0"/>
        <w:rPr>
          <w:rFonts w:ascii="Times New Roman" w:hAnsi="Times New Roman" w:cs="Times New Roman"/>
          <w:sz w:val="8"/>
          <w:szCs w:val="8"/>
        </w:rPr>
      </w:pPr>
    </w:p>
    <w:p w14:paraId="55C528CB"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European dynasties dethroned at the end of World War I </w:t>
      </w:r>
      <w:proofErr w:type="gramStart"/>
      <w:r w:rsidRPr="005E770B">
        <w:rPr>
          <w:rFonts w:ascii="Times New Roman" w:hAnsi="Times New Roman" w:cs="Times New Roman"/>
          <w:sz w:val="16"/>
          <w:szCs w:val="16"/>
        </w:rPr>
        <w:t>continue</w:t>
      </w:r>
      <w:proofErr w:type="gramEnd"/>
      <w:r w:rsidRPr="005E770B">
        <w:rPr>
          <w:rFonts w:ascii="Times New Roman" w:hAnsi="Times New Roman" w:cs="Times New Roman"/>
          <w:sz w:val="16"/>
          <w:szCs w:val="16"/>
        </w:rPr>
        <w:t xml:space="preserve"> to enforce their house laws even though they had no legal authority to do so. Some continued doing so through the 20th century</w:t>
      </w:r>
      <w:r>
        <w:rPr>
          <w:rFonts w:ascii="Times New Roman" w:hAnsi="Times New Roman" w:cs="Times New Roman"/>
          <w:sz w:val="16"/>
          <w:szCs w:val="16"/>
        </w:rPr>
        <w:t xml:space="preserve"> in </w:t>
      </w:r>
      <w:r w:rsidRPr="00772327">
        <w:rPr>
          <w:rFonts w:ascii="Times New Roman" w:hAnsi="Times New Roman" w:cs="Times New Roman"/>
          <w:sz w:val="16"/>
          <w:szCs w:val="16"/>
        </w:rPr>
        <w:t>Bourbon-Sicily</w:t>
      </w:r>
      <w:r w:rsidRPr="005E770B">
        <w:rPr>
          <w:rFonts w:ascii="Times New Roman" w:hAnsi="Times New Roman" w:cs="Times New Roman"/>
          <w:sz w:val="16"/>
          <w:szCs w:val="16"/>
        </w:rPr>
        <w:t xml:space="preserve">, </w:t>
      </w:r>
      <w:r w:rsidRPr="00772327">
        <w:rPr>
          <w:rFonts w:ascii="Times New Roman" w:hAnsi="Times New Roman" w:cs="Times New Roman"/>
          <w:sz w:val="16"/>
          <w:szCs w:val="16"/>
        </w:rPr>
        <w:t>Braganza</w:t>
      </w:r>
      <w:r w:rsidRPr="005E770B">
        <w:rPr>
          <w:rFonts w:ascii="Times New Roman" w:hAnsi="Times New Roman" w:cs="Times New Roman"/>
          <w:sz w:val="16"/>
          <w:szCs w:val="16"/>
        </w:rPr>
        <w:t xml:space="preserve">, </w:t>
      </w:r>
      <w:r w:rsidRPr="00772327">
        <w:rPr>
          <w:rFonts w:ascii="Times New Roman" w:hAnsi="Times New Roman" w:cs="Times New Roman"/>
          <w:sz w:val="16"/>
          <w:szCs w:val="16"/>
        </w:rPr>
        <w:t>Prussia</w:t>
      </w:r>
      <w:r w:rsidRPr="005E770B">
        <w:rPr>
          <w:rFonts w:ascii="Times New Roman" w:hAnsi="Times New Roman" w:cs="Times New Roman"/>
          <w:sz w:val="16"/>
          <w:szCs w:val="16"/>
        </w:rPr>
        <w:t xml:space="preserve">, </w:t>
      </w:r>
      <w:r w:rsidRPr="00772327">
        <w:rPr>
          <w:rFonts w:ascii="Times New Roman" w:hAnsi="Times New Roman" w:cs="Times New Roman"/>
          <w:sz w:val="16"/>
          <w:szCs w:val="16"/>
        </w:rPr>
        <w:t>Württemberg</w:t>
      </w:r>
      <w:r w:rsidRPr="005E770B">
        <w:rPr>
          <w:rFonts w:ascii="Times New Roman" w:hAnsi="Times New Roman" w:cs="Times New Roman"/>
          <w:sz w:val="16"/>
          <w:szCs w:val="16"/>
        </w:rPr>
        <w:t xml:space="preserve">. Governments in extant monarchies, without calling the legal mechanisms </w:t>
      </w:r>
      <w:r w:rsidRPr="005E770B">
        <w:rPr>
          <w:rFonts w:ascii="Times New Roman" w:hAnsi="Times New Roman" w:cs="Times New Roman"/>
          <w:i/>
          <w:iCs/>
          <w:sz w:val="16"/>
          <w:szCs w:val="16"/>
        </w:rPr>
        <w:t>house laws</w:t>
      </w:r>
      <w:r w:rsidRPr="005E770B">
        <w:rPr>
          <w:rFonts w:ascii="Times New Roman" w:hAnsi="Times New Roman" w:cs="Times New Roman"/>
          <w:sz w:val="16"/>
          <w:szCs w:val="16"/>
        </w:rPr>
        <w:t xml:space="preserve">, have generally strengthened their control over the marriages of members of their royal families since the second half of the 20th century. Previously a prince could often </w:t>
      </w:r>
      <w:r w:rsidRPr="00772327">
        <w:rPr>
          <w:rFonts w:ascii="Times New Roman" w:hAnsi="Times New Roman" w:cs="Times New Roman"/>
          <w:sz w:val="16"/>
          <w:szCs w:val="16"/>
        </w:rPr>
        <w:t>morganatically</w:t>
      </w:r>
      <w:r w:rsidRPr="005E770B">
        <w:rPr>
          <w:rFonts w:ascii="Times New Roman" w:hAnsi="Times New Roman" w:cs="Times New Roman"/>
          <w:sz w:val="16"/>
          <w:szCs w:val="16"/>
        </w:rPr>
        <w:t xml:space="preserve"> marry a woman not deemed acceptable as a royal consort, relegating her and their children to a sub-royal status. That is rarely an option anymore. In most </w:t>
      </w:r>
      <w:r w:rsidRPr="00772327">
        <w:rPr>
          <w:rFonts w:ascii="Times New Roman" w:hAnsi="Times New Roman" w:cs="Times New Roman"/>
          <w:sz w:val="16"/>
          <w:szCs w:val="16"/>
        </w:rPr>
        <w:t>Western European</w:t>
      </w:r>
      <w:r w:rsidRPr="005E770B">
        <w:rPr>
          <w:rFonts w:ascii="Times New Roman" w:hAnsi="Times New Roman" w:cs="Times New Roman"/>
          <w:sz w:val="16"/>
          <w:szCs w:val="16"/>
        </w:rPr>
        <w:t xml:space="preserve"> monarchies of today, a prince must renounce or </w:t>
      </w:r>
      <w:r w:rsidRPr="00772327">
        <w:rPr>
          <w:rFonts w:ascii="Times New Roman" w:hAnsi="Times New Roman" w:cs="Times New Roman"/>
          <w:sz w:val="16"/>
          <w:szCs w:val="16"/>
        </w:rPr>
        <w:t>forfeit</w:t>
      </w:r>
      <w:r w:rsidRPr="005E770B">
        <w:rPr>
          <w:rFonts w:ascii="Times New Roman" w:hAnsi="Times New Roman" w:cs="Times New Roman"/>
          <w:sz w:val="16"/>
          <w:szCs w:val="16"/>
        </w:rPr>
        <w:t xml:space="preserve"> membership in the royal house if his chosen spouse is not deemed suitable, e.g., </w:t>
      </w:r>
      <w:r w:rsidRPr="00772327">
        <w:rPr>
          <w:rFonts w:ascii="Times New Roman" w:hAnsi="Times New Roman" w:cs="Times New Roman"/>
          <w:sz w:val="16"/>
          <w:szCs w:val="16"/>
        </w:rPr>
        <w:t>Prince Friso of Orange-Nassau</w:t>
      </w:r>
      <w:r w:rsidRPr="005E770B">
        <w:rPr>
          <w:rFonts w:ascii="Times New Roman" w:hAnsi="Times New Roman" w:cs="Times New Roman"/>
          <w:sz w:val="16"/>
          <w:szCs w:val="16"/>
        </w:rPr>
        <w:t>.</w:t>
      </w:r>
    </w:p>
    <w:p w14:paraId="07BAC665" w14:textId="77777777" w:rsidR="00FA66A2" w:rsidRPr="009C11A9" w:rsidRDefault="00FA66A2" w:rsidP="00FA66A2">
      <w:pPr>
        <w:autoSpaceDE w:val="0"/>
        <w:autoSpaceDN w:val="0"/>
        <w:adjustRightInd w:val="0"/>
        <w:spacing w:after="0"/>
        <w:rPr>
          <w:rFonts w:ascii="Times New Roman" w:hAnsi="Times New Roman" w:cs="Times New Roman"/>
          <w:sz w:val="8"/>
          <w:szCs w:val="8"/>
        </w:rPr>
      </w:pPr>
    </w:p>
    <w:p w14:paraId="2359D195"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In some cases, house laws are rules or traditions that are treated as if they have the force of law. In the United Kingdom an example of this might be considered the custom whereby a wife shares in her husband's hereditary titles and rank. While this is settled </w:t>
      </w:r>
      <w:r w:rsidRPr="00772327">
        <w:rPr>
          <w:rFonts w:ascii="Times New Roman" w:hAnsi="Times New Roman" w:cs="Times New Roman"/>
          <w:sz w:val="16"/>
          <w:szCs w:val="16"/>
        </w:rPr>
        <w:t>common law</w:t>
      </w:r>
      <w:r w:rsidRPr="005E770B">
        <w:rPr>
          <w:rFonts w:ascii="Times New Roman" w:hAnsi="Times New Roman" w:cs="Times New Roman"/>
          <w:sz w:val="16"/>
          <w:szCs w:val="16"/>
        </w:rPr>
        <w:t xml:space="preserve"> with respect to the wives of </w:t>
      </w:r>
      <w:r w:rsidRPr="00772327">
        <w:rPr>
          <w:rFonts w:ascii="Times New Roman" w:hAnsi="Times New Roman" w:cs="Times New Roman"/>
          <w:sz w:val="16"/>
          <w:szCs w:val="16"/>
        </w:rPr>
        <w:t>peers</w:t>
      </w:r>
      <w:r w:rsidRPr="005E770B">
        <w:rPr>
          <w:rFonts w:ascii="Times New Roman" w:hAnsi="Times New Roman" w:cs="Times New Roman"/>
          <w:sz w:val="16"/>
          <w:szCs w:val="16"/>
        </w:rPr>
        <w:t xml:space="preserve"> and commoners, it is less clear when it comes to consorts of the king and princes. When, in 1923, </w:t>
      </w:r>
      <w:r w:rsidRPr="00772327">
        <w:rPr>
          <w:rFonts w:ascii="Times New Roman" w:hAnsi="Times New Roman" w:cs="Times New Roman"/>
          <w:sz w:val="16"/>
          <w:szCs w:val="16"/>
        </w:rPr>
        <w:t>Prince Albert, Duke of York</w:t>
      </w:r>
      <w:r w:rsidRPr="005E770B">
        <w:rPr>
          <w:rFonts w:ascii="Times New Roman" w:hAnsi="Times New Roman" w:cs="Times New Roman"/>
          <w:sz w:val="16"/>
          <w:szCs w:val="16"/>
        </w:rPr>
        <w:t xml:space="preserve"> became the first male member of the British royal family to marry a non-princess in more than 300 years with the sovereign's approval, an announcement was apparently issued by </w:t>
      </w:r>
      <w:r w:rsidRPr="00772327">
        <w:rPr>
          <w:rFonts w:ascii="Times New Roman" w:hAnsi="Times New Roman" w:cs="Times New Roman"/>
          <w:sz w:val="16"/>
          <w:szCs w:val="16"/>
        </w:rPr>
        <w:t>Buckingham Palace</w:t>
      </w:r>
      <w:r w:rsidRPr="005E770B">
        <w:rPr>
          <w:rFonts w:ascii="Times New Roman" w:hAnsi="Times New Roman" w:cs="Times New Roman"/>
          <w:sz w:val="16"/>
          <w:szCs w:val="16"/>
        </w:rPr>
        <w:t xml:space="preserve"> and carried in the </w:t>
      </w:r>
      <w:r w:rsidRPr="00772327">
        <w:rPr>
          <w:rFonts w:ascii="Times New Roman" w:hAnsi="Times New Roman" w:cs="Times New Roman"/>
          <w:i/>
          <w:iCs/>
          <w:sz w:val="16"/>
          <w:szCs w:val="16"/>
        </w:rPr>
        <w:t>London Gazette</w:t>
      </w:r>
      <w:r w:rsidRPr="005E770B">
        <w:rPr>
          <w:rFonts w:ascii="Times New Roman" w:hAnsi="Times New Roman" w:cs="Times New Roman"/>
          <w:sz w:val="16"/>
          <w:szCs w:val="16"/>
        </w:rPr>
        <w:t xml:space="preserve"> and </w:t>
      </w:r>
      <w:r w:rsidRPr="00772327">
        <w:rPr>
          <w:rFonts w:ascii="Times New Roman" w:hAnsi="Times New Roman" w:cs="Times New Roman"/>
          <w:i/>
          <w:iCs/>
          <w:sz w:val="16"/>
          <w:szCs w:val="16"/>
        </w:rPr>
        <w:t>The Times</w:t>
      </w:r>
      <w:r w:rsidRPr="005E770B">
        <w:rPr>
          <w:rFonts w:ascii="Times New Roman" w:hAnsi="Times New Roman" w:cs="Times New Roman"/>
          <w:sz w:val="16"/>
          <w:szCs w:val="16"/>
        </w:rPr>
        <w:t xml:space="preserve">, "It is officially announced that, in accordance with the settled general rule that a wife takes the status of her husband, </w:t>
      </w:r>
      <w:r w:rsidRPr="00772327">
        <w:rPr>
          <w:rFonts w:ascii="Times New Roman" w:hAnsi="Times New Roman" w:cs="Times New Roman"/>
          <w:sz w:val="16"/>
          <w:szCs w:val="16"/>
        </w:rPr>
        <w:t>Lady Elizabeth Bowes-Lyon</w:t>
      </w:r>
      <w:r w:rsidRPr="005E770B">
        <w:rPr>
          <w:rFonts w:ascii="Times New Roman" w:hAnsi="Times New Roman" w:cs="Times New Roman"/>
          <w:sz w:val="16"/>
          <w:szCs w:val="16"/>
        </w:rPr>
        <w:t xml:space="preserve"> on her marriage has become Her Royal Highness the Duchess of York, with the status of a Princess". </w:t>
      </w:r>
    </w:p>
    <w:p w14:paraId="47CA0025" w14:textId="77777777" w:rsidR="00FA66A2" w:rsidRPr="009C11A9" w:rsidRDefault="00FA66A2" w:rsidP="00FA66A2">
      <w:pPr>
        <w:autoSpaceDE w:val="0"/>
        <w:autoSpaceDN w:val="0"/>
        <w:adjustRightInd w:val="0"/>
        <w:spacing w:after="0"/>
        <w:rPr>
          <w:rFonts w:ascii="Times New Roman" w:hAnsi="Times New Roman" w:cs="Times New Roman"/>
          <w:sz w:val="8"/>
          <w:szCs w:val="8"/>
        </w:rPr>
      </w:pPr>
    </w:p>
    <w:p w14:paraId="2B745C11"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This issue was revisited by the British government in both 1937 and 2005, when the marriages of former and future kings to divorcées cast into doubt what </w:t>
      </w:r>
      <w:proofErr w:type="spellStart"/>
      <w:r w:rsidRPr="005E770B">
        <w:rPr>
          <w:rFonts w:ascii="Times New Roman" w:hAnsi="Times New Roman" w:cs="Times New Roman"/>
          <w:sz w:val="16"/>
          <w:szCs w:val="16"/>
        </w:rPr>
        <w:t>titulature</w:t>
      </w:r>
      <w:proofErr w:type="spellEnd"/>
      <w:r w:rsidRPr="005E770B">
        <w:rPr>
          <w:rFonts w:ascii="Times New Roman" w:hAnsi="Times New Roman" w:cs="Times New Roman"/>
          <w:sz w:val="16"/>
          <w:szCs w:val="16"/>
        </w:rPr>
        <w:t xml:space="preserve"> was appropriate for women who were to become, essentially, the </w:t>
      </w:r>
      <w:r w:rsidRPr="00772327">
        <w:rPr>
          <w:rFonts w:ascii="Times New Roman" w:hAnsi="Times New Roman" w:cs="Times New Roman"/>
          <w:i/>
          <w:iCs/>
          <w:sz w:val="16"/>
          <w:szCs w:val="16"/>
        </w:rPr>
        <w:t>private</w:t>
      </w:r>
      <w:r w:rsidRPr="00772327">
        <w:rPr>
          <w:rFonts w:ascii="Times New Roman" w:hAnsi="Times New Roman" w:cs="Times New Roman"/>
          <w:sz w:val="16"/>
          <w:szCs w:val="16"/>
        </w:rPr>
        <w:t xml:space="preserve"> wives of royal princes</w:t>
      </w:r>
      <w:r w:rsidRPr="005E770B">
        <w:rPr>
          <w:rFonts w:ascii="Times New Roman" w:hAnsi="Times New Roman" w:cs="Times New Roman"/>
          <w:sz w:val="16"/>
          <w:szCs w:val="16"/>
        </w:rPr>
        <w:t xml:space="preserve">. As can be gleaned from discussions at the time, popular certainty that "a woman is entitled to share her husband's status", has by no means been seen as </w:t>
      </w:r>
      <w:proofErr w:type="gramStart"/>
      <w:r w:rsidRPr="005E770B">
        <w:rPr>
          <w:rFonts w:ascii="Times New Roman" w:hAnsi="Times New Roman" w:cs="Times New Roman"/>
          <w:sz w:val="16"/>
          <w:szCs w:val="16"/>
        </w:rPr>
        <w:t>absolutely clear</w:t>
      </w:r>
      <w:proofErr w:type="gramEnd"/>
      <w:r w:rsidRPr="005E770B">
        <w:rPr>
          <w:rFonts w:ascii="Times New Roman" w:hAnsi="Times New Roman" w:cs="Times New Roman"/>
          <w:sz w:val="16"/>
          <w:szCs w:val="16"/>
        </w:rPr>
        <w:t xml:space="preserve"> by government experts and lawyers upon examining the matter. In the case of the marriage of </w:t>
      </w:r>
      <w:r w:rsidRPr="00772327">
        <w:rPr>
          <w:rFonts w:ascii="Times New Roman" w:hAnsi="Times New Roman" w:cs="Times New Roman"/>
          <w:sz w:val="16"/>
          <w:szCs w:val="16"/>
        </w:rPr>
        <w:t>Prince Charles</w:t>
      </w:r>
      <w:r w:rsidRPr="005E770B">
        <w:rPr>
          <w:rFonts w:ascii="Times New Roman" w:hAnsi="Times New Roman" w:cs="Times New Roman"/>
          <w:sz w:val="16"/>
          <w:szCs w:val="16"/>
        </w:rPr>
        <w:t xml:space="preserve"> to </w:t>
      </w:r>
      <w:r w:rsidRPr="00772327">
        <w:rPr>
          <w:rFonts w:ascii="Times New Roman" w:hAnsi="Times New Roman" w:cs="Times New Roman"/>
          <w:sz w:val="16"/>
          <w:szCs w:val="16"/>
        </w:rPr>
        <w:t>Camilla Parker Bowles</w:t>
      </w:r>
      <w:r w:rsidRPr="005E770B">
        <w:rPr>
          <w:rFonts w:ascii="Times New Roman" w:hAnsi="Times New Roman" w:cs="Times New Roman"/>
          <w:sz w:val="16"/>
          <w:szCs w:val="16"/>
        </w:rPr>
        <w:t xml:space="preserve">, in 2005, the matter was settled by the decision that Camilla, whilst legally the Princess of Wales, would only use her secondary title of Duchess of Cornwall, out of respect to public sensibilities and to her predecessor, </w:t>
      </w:r>
      <w:r w:rsidRPr="00546BD8">
        <w:rPr>
          <w:rFonts w:ascii="Times New Roman" w:hAnsi="Times New Roman" w:cs="Times New Roman"/>
          <w:sz w:val="16"/>
          <w:szCs w:val="16"/>
        </w:rPr>
        <w:t>Diana, Princess of Wales</w:t>
      </w:r>
      <w:r w:rsidRPr="005E770B">
        <w:rPr>
          <w:rFonts w:ascii="Times New Roman" w:hAnsi="Times New Roman" w:cs="Times New Roman"/>
          <w:sz w:val="16"/>
          <w:szCs w:val="16"/>
        </w:rPr>
        <w:t>.</w:t>
      </w:r>
    </w:p>
    <w:p w14:paraId="29FCBCBD" w14:textId="77777777" w:rsidR="00FA66A2" w:rsidRPr="009C11A9" w:rsidRDefault="00FA66A2" w:rsidP="00FA66A2">
      <w:pPr>
        <w:autoSpaceDE w:val="0"/>
        <w:autoSpaceDN w:val="0"/>
        <w:adjustRightInd w:val="0"/>
        <w:spacing w:after="0"/>
        <w:rPr>
          <w:rFonts w:ascii="Times New Roman" w:hAnsi="Times New Roman" w:cs="Times New Roman"/>
          <w:b/>
          <w:bCs/>
          <w:sz w:val="8"/>
          <w:szCs w:val="8"/>
        </w:rPr>
      </w:pPr>
    </w:p>
    <w:p w14:paraId="5FE159DA" w14:textId="77777777" w:rsidR="00FA66A2" w:rsidRPr="005E770B" w:rsidRDefault="00FA66A2" w:rsidP="00FA66A2">
      <w:pPr>
        <w:pStyle w:val="ListParagraph"/>
        <w:numPr>
          <w:ilvl w:val="0"/>
          <w:numId w:val="2"/>
        </w:numPr>
        <w:spacing w:after="0"/>
        <w:jc w:val="left"/>
        <w:rPr>
          <w:rFonts w:ascii="Times New Roman" w:hAnsi="Times New Roman" w:cs="Times New Roman"/>
          <w:sz w:val="16"/>
          <w:szCs w:val="16"/>
          <w:lang w:bidi="ar-SA"/>
        </w:rPr>
      </w:pPr>
      <w:hyperlink r:id="rId11" w:tooltip="Allod" w:history="1">
        <w:proofErr w:type="spellStart"/>
        <w:r w:rsidRPr="005E770B">
          <w:rPr>
            <w:rStyle w:val="Hyperlink"/>
            <w:rFonts w:ascii="Times New Roman" w:hAnsi="Times New Roman" w:cs="Times New Roman"/>
            <w:color w:val="auto"/>
            <w:sz w:val="16"/>
            <w:szCs w:val="16"/>
          </w:rPr>
          <w:t>Allod</w:t>
        </w:r>
        <w:proofErr w:type="spellEnd"/>
      </w:hyperlink>
      <w:r w:rsidRPr="005E770B">
        <w:rPr>
          <w:rFonts w:ascii="Times New Roman" w:hAnsi="Times New Roman" w:cs="Times New Roman"/>
          <w:sz w:val="16"/>
          <w:szCs w:val="16"/>
        </w:rPr>
        <w:t xml:space="preserve"> – Historic type of land estate </w:t>
      </w:r>
    </w:p>
    <w:p w14:paraId="6340ED10"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12" w:tooltip="Assarting" w:history="1">
        <w:proofErr w:type="spellStart"/>
        <w:r w:rsidRPr="005E770B">
          <w:rPr>
            <w:rStyle w:val="Hyperlink"/>
            <w:rFonts w:ascii="Times New Roman" w:hAnsi="Times New Roman" w:cs="Times New Roman"/>
            <w:color w:val="auto"/>
            <w:sz w:val="16"/>
            <w:szCs w:val="16"/>
          </w:rPr>
          <w:t>Assarting</w:t>
        </w:r>
        <w:proofErr w:type="spellEnd"/>
      </w:hyperlink>
      <w:r w:rsidRPr="005E770B">
        <w:rPr>
          <w:rFonts w:ascii="Times New Roman" w:hAnsi="Times New Roman" w:cs="Times New Roman"/>
          <w:sz w:val="16"/>
          <w:szCs w:val="16"/>
        </w:rPr>
        <w:t xml:space="preserve"> – Clearing of forested lands for use in agriculture or other purposes </w:t>
      </w:r>
    </w:p>
    <w:p w14:paraId="4CD37C18"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13" w:anchor="Medieval_nobility:_Frälse" w:tooltip="Swedish nobility" w:history="1">
        <w:proofErr w:type="spellStart"/>
        <w:r w:rsidRPr="005E770B">
          <w:rPr>
            <w:rStyle w:val="Hyperlink"/>
            <w:rFonts w:ascii="Times New Roman" w:hAnsi="Times New Roman" w:cs="Times New Roman"/>
            <w:color w:val="auto"/>
            <w:sz w:val="16"/>
            <w:szCs w:val="16"/>
          </w:rPr>
          <w:t>Frälse</w:t>
        </w:r>
        <w:proofErr w:type="spellEnd"/>
      </w:hyperlink>
      <w:r w:rsidRPr="005E770B">
        <w:rPr>
          <w:rFonts w:ascii="Times New Roman" w:hAnsi="Times New Roman" w:cs="Times New Roman"/>
          <w:sz w:val="16"/>
          <w:szCs w:val="16"/>
        </w:rPr>
        <w:t xml:space="preserve"> – Socially privileged class in Sweden </w:t>
      </w:r>
    </w:p>
    <w:p w14:paraId="684C732B"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14" w:tooltip="Land tenure" w:history="1">
        <w:r w:rsidRPr="005E770B">
          <w:rPr>
            <w:rStyle w:val="Hyperlink"/>
            <w:rFonts w:ascii="Times New Roman" w:hAnsi="Times New Roman" w:cs="Times New Roman"/>
            <w:color w:val="auto"/>
            <w:sz w:val="16"/>
            <w:szCs w:val="16"/>
          </w:rPr>
          <w:t>Land tenure</w:t>
        </w:r>
      </w:hyperlink>
      <w:r w:rsidRPr="005E770B">
        <w:rPr>
          <w:rFonts w:ascii="Times New Roman" w:hAnsi="Times New Roman" w:cs="Times New Roman"/>
          <w:sz w:val="16"/>
          <w:szCs w:val="16"/>
        </w:rPr>
        <w:t xml:space="preserve"> – Legal regime in which area owned by an individual is held by another person </w:t>
      </w:r>
    </w:p>
    <w:p w14:paraId="57EB1947"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15" w:tooltip="Lord paramount" w:history="1">
        <w:r w:rsidRPr="005E770B">
          <w:rPr>
            <w:rStyle w:val="Hyperlink"/>
            <w:rFonts w:ascii="Times New Roman" w:hAnsi="Times New Roman" w:cs="Times New Roman"/>
            <w:color w:val="auto"/>
            <w:sz w:val="16"/>
            <w:szCs w:val="16"/>
          </w:rPr>
          <w:t>Lord paramount</w:t>
        </w:r>
      </w:hyperlink>
      <w:r w:rsidRPr="005E770B">
        <w:rPr>
          <w:rFonts w:ascii="Times New Roman" w:hAnsi="Times New Roman" w:cs="Times New Roman"/>
          <w:sz w:val="16"/>
          <w:szCs w:val="16"/>
        </w:rPr>
        <w:t xml:space="preserve"> – Feudal overlord: a lord with no obligations to a higher lord </w:t>
      </w:r>
    </w:p>
    <w:p w14:paraId="71359EC5"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16" w:tooltip="Manorialism" w:history="1">
        <w:r w:rsidRPr="005E770B">
          <w:rPr>
            <w:rStyle w:val="Hyperlink"/>
            <w:rFonts w:ascii="Times New Roman" w:hAnsi="Times New Roman" w:cs="Times New Roman"/>
            <w:color w:val="auto"/>
            <w:sz w:val="16"/>
            <w:szCs w:val="16"/>
          </w:rPr>
          <w:t>Manorialism</w:t>
        </w:r>
      </w:hyperlink>
      <w:r w:rsidRPr="005E770B">
        <w:rPr>
          <w:rFonts w:ascii="Times New Roman" w:hAnsi="Times New Roman" w:cs="Times New Roman"/>
          <w:sz w:val="16"/>
          <w:szCs w:val="16"/>
        </w:rPr>
        <w:t xml:space="preserve"> – Economic, political, and judicial institution during the Middle Ages in Europe </w:t>
      </w:r>
    </w:p>
    <w:p w14:paraId="3118CD93"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17" w:tooltip="Mark system" w:history="1">
        <w:r w:rsidRPr="005E770B">
          <w:rPr>
            <w:rStyle w:val="Hyperlink"/>
            <w:rFonts w:ascii="Times New Roman" w:hAnsi="Times New Roman" w:cs="Times New Roman"/>
            <w:color w:val="auto"/>
            <w:sz w:val="16"/>
            <w:szCs w:val="16"/>
          </w:rPr>
          <w:t>Mark system</w:t>
        </w:r>
      </w:hyperlink>
      <w:r w:rsidRPr="005E770B">
        <w:rPr>
          <w:rFonts w:ascii="Times New Roman" w:hAnsi="Times New Roman" w:cs="Times New Roman"/>
          <w:sz w:val="16"/>
          <w:szCs w:val="16"/>
        </w:rPr>
        <w:t xml:space="preserve"> </w:t>
      </w:r>
    </w:p>
    <w:p w14:paraId="1F934A5C"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18" w:tooltip="Microstate" w:history="1">
        <w:r w:rsidRPr="005E770B">
          <w:rPr>
            <w:rStyle w:val="Hyperlink"/>
            <w:rFonts w:ascii="Times New Roman" w:hAnsi="Times New Roman" w:cs="Times New Roman"/>
            <w:color w:val="auto"/>
            <w:sz w:val="16"/>
            <w:szCs w:val="16"/>
          </w:rPr>
          <w:t>Microstate</w:t>
        </w:r>
      </w:hyperlink>
      <w:r w:rsidRPr="005E770B">
        <w:rPr>
          <w:rFonts w:ascii="Times New Roman" w:hAnsi="Times New Roman" w:cs="Times New Roman"/>
          <w:sz w:val="16"/>
          <w:szCs w:val="16"/>
        </w:rPr>
        <w:t xml:space="preserve"> – Sovereign state having a very small population or very small land area </w:t>
      </w:r>
    </w:p>
    <w:p w14:paraId="7098699C"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19" w:tooltip="Nulle terre sans seigneur" w:history="1">
        <w:r w:rsidRPr="005E770B">
          <w:rPr>
            <w:rStyle w:val="Hyperlink"/>
            <w:rFonts w:ascii="Times New Roman" w:hAnsi="Times New Roman" w:cs="Times New Roman"/>
            <w:i/>
            <w:iCs/>
            <w:color w:val="auto"/>
            <w:sz w:val="16"/>
            <w:szCs w:val="16"/>
          </w:rPr>
          <w:t>Nulle terre sans seigneur</w:t>
        </w:r>
      </w:hyperlink>
      <w:r w:rsidRPr="005E770B">
        <w:rPr>
          <w:rFonts w:ascii="Times New Roman" w:hAnsi="Times New Roman" w:cs="Times New Roman"/>
          <w:sz w:val="16"/>
          <w:szCs w:val="16"/>
        </w:rPr>
        <w:t xml:space="preserve"> – Principle of feudal systems </w:t>
      </w:r>
    </w:p>
    <w:p w14:paraId="22187CBC"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20" w:tooltip="Numa Denis Fustel de Coulanges" w:history="1">
        <w:r w:rsidRPr="005E770B">
          <w:rPr>
            <w:rStyle w:val="Hyperlink"/>
            <w:rFonts w:ascii="Times New Roman" w:hAnsi="Times New Roman" w:cs="Times New Roman"/>
            <w:color w:val="auto"/>
            <w:sz w:val="16"/>
            <w:szCs w:val="16"/>
          </w:rPr>
          <w:t>Numa Denis Fustel de Coulanges</w:t>
        </w:r>
      </w:hyperlink>
      <w:r w:rsidRPr="005E770B">
        <w:rPr>
          <w:rFonts w:ascii="Times New Roman" w:hAnsi="Times New Roman" w:cs="Times New Roman"/>
          <w:sz w:val="16"/>
          <w:szCs w:val="16"/>
        </w:rPr>
        <w:t xml:space="preserve"> – French historian and religious scholar (1830–1889) </w:t>
      </w:r>
    </w:p>
    <w:p w14:paraId="207603E7"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21" w:tooltip="Odelsrett" w:history="1">
        <w:r w:rsidRPr="005E770B">
          <w:rPr>
            <w:rStyle w:val="Hyperlink"/>
            <w:rFonts w:ascii="Times New Roman" w:hAnsi="Times New Roman" w:cs="Times New Roman"/>
            <w:i/>
            <w:iCs/>
            <w:color w:val="auto"/>
            <w:sz w:val="16"/>
            <w:szCs w:val="16"/>
          </w:rPr>
          <w:t>Odellsrett</w:t>
        </w:r>
      </w:hyperlink>
      <w:r w:rsidRPr="005E770B">
        <w:rPr>
          <w:rFonts w:ascii="Times New Roman" w:hAnsi="Times New Roman" w:cs="Times New Roman"/>
          <w:sz w:val="16"/>
          <w:szCs w:val="16"/>
        </w:rPr>
        <w:t xml:space="preserve"> – Scandinavian family land laws </w:t>
      </w:r>
    </w:p>
    <w:p w14:paraId="6A8072F5"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22" w:tooltip="Property tax in the United States" w:history="1">
        <w:r w:rsidRPr="005E770B">
          <w:rPr>
            <w:rStyle w:val="Hyperlink"/>
            <w:rFonts w:ascii="Times New Roman" w:hAnsi="Times New Roman" w:cs="Times New Roman"/>
            <w:color w:val="auto"/>
            <w:sz w:val="16"/>
            <w:szCs w:val="16"/>
          </w:rPr>
          <w:t>Property tax in the United States</w:t>
        </w:r>
      </w:hyperlink>
      <w:r w:rsidRPr="005E770B">
        <w:rPr>
          <w:rFonts w:ascii="Times New Roman" w:hAnsi="Times New Roman" w:cs="Times New Roman"/>
          <w:sz w:val="16"/>
          <w:szCs w:val="16"/>
        </w:rPr>
        <w:t xml:space="preserve"> </w:t>
      </w:r>
    </w:p>
    <w:p w14:paraId="5CC70A20"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23" w:tooltip="Quia Emptores" w:history="1">
        <w:r w:rsidRPr="005E770B">
          <w:rPr>
            <w:rStyle w:val="Hyperlink"/>
            <w:rFonts w:ascii="Times New Roman" w:hAnsi="Times New Roman" w:cs="Times New Roman"/>
            <w:i/>
            <w:iCs/>
            <w:color w:val="auto"/>
            <w:sz w:val="16"/>
            <w:szCs w:val="16"/>
          </w:rPr>
          <w:t xml:space="preserve">Quia </w:t>
        </w:r>
        <w:proofErr w:type="spellStart"/>
        <w:r w:rsidRPr="005E770B">
          <w:rPr>
            <w:rStyle w:val="Hyperlink"/>
            <w:rFonts w:ascii="Times New Roman" w:hAnsi="Times New Roman" w:cs="Times New Roman"/>
            <w:i/>
            <w:iCs/>
            <w:color w:val="auto"/>
            <w:sz w:val="16"/>
            <w:szCs w:val="16"/>
          </w:rPr>
          <w:t>Emptores</w:t>
        </w:r>
        <w:proofErr w:type="spellEnd"/>
      </w:hyperlink>
      <w:r w:rsidRPr="005E770B">
        <w:rPr>
          <w:rFonts w:ascii="Times New Roman" w:hAnsi="Times New Roman" w:cs="Times New Roman"/>
          <w:sz w:val="16"/>
          <w:szCs w:val="16"/>
        </w:rPr>
        <w:t xml:space="preserve"> – English statute of 1290 </w:t>
      </w:r>
    </w:p>
    <w:p w14:paraId="5ADC67C2"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24" w:tooltip="Serfdom" w:history="1">
        <w:r w:rsidRPr="005E770B">
          <w:rPr>
            <w:rStyle w:val="Hyperlink"/>
            <w:rFonts w:ascii="Times New Roman" w:hAnsi="Times New Roman" w:cs="Times New Roman"/>
            <w:color w:val="auto"/>
            <w:sz w:val="16"/>
            <w:szCs w:val="16"/>
          </w:rPr>
          <w:t>Serfdom</w:t>
        </w:r>
      </w:hyperlink>
      <w:r w:rsidRPr="005E770B">
        <w:rPr>
          <w:rFonts w:ascii="Times New Roman" w:hAnsi="Times New Roman" w:cs="Times New Roman"/>
          <w:sz w:val="16"/>
          <w:szCs w:val="16"/>
        </w:rPr>
        <w:t xml:space="preserve"> – Status of peasants under feudalism </w:t>
      </w:r>
    </w:p>
    <w:p w14:paraId="54855A29"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25" w:tooltip="Slander of title" w:history="1">
        <w:r w:rsidRPr="005E770B">
          <w:rPr>
            <w:rStyle w:val="Hyperlink"/>
            <w:rFonts w:ascii="Times New Roman" w:hAnsi="Times New Roman" w:cs="Times New Roman"/>
            <w:color w:val="auto"/>
            <w:sz w:val="16"/>
            <w:szCs w:val="16"/>
          </w:rPr>
          <w:t>Slander of title</w:t>
        </w:r>
      </w:hyperlink>
      <w:r w:rsidRPr="005E770B">
        <w:rPr>
          <w:rFonts w:ascii="Times New Roman" w:hAnsi="Times New Roman" w:cs="Times New Roman"/>
          <w:sz w:val="16"/>
          <w:szCs w:val="16"/>
        </w:rPr>
        <w:t xml:space="preserve"> </w:t>
      </w:r>
    </w:p>
    <w:p w14:paraId="1AE0CB30"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26" w:tooltip="Torrens title" w:history="1">
        <w:r w:rsidRPr="005E770B">
          <w:rPr>
            <w:rStyle w:val="Hyperlink"/>
            <w:rFonts w:ascii="Times New Roman" w:hAnsi="Times New Roman" w:cs="Times New Roman"/>
            <w:color w:val="auto"/>
            <w:sz w:val="16"/>
            <w:szCs w:val="16"/>
          </w:rPr>
          <w:t>Torrens title</w:t>
        </w:r>
      </w:hyperlink>
      <w:r w:rsidRPr="005E770B">
        <w:rPr>
          <w:rFonts w:ascii="Times New Roman" w:hAnsi="Times New Roman" w:cs="Times New Roman"/>
          <w:sz w:val="16"/>
          <w:szCs w:val="16"/>
        </w:rPr>
        <w:t> – Land registration and land transfer system</w:t>
      </w:r>
    </w:p>
    <w:p w14:paraId="3CDFA051"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sz w:val="16"/>
          <w:szCs w:val="16"/>
        </w:rPr>
      </w:pPr>
    </w:p>
    <w:p w14:paraId="6A161FE3"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b/>
          <w:bCs/>
          <w:sz w:val="16"/>
          <w:szCs w:val="16"/>
        </w:rPr>
        <w:t>The status of an Estate</w:t>
      </w:r>
      <w:r w:rsidRPr="005E770B">
        <w:rPr>
          <w:rFonts w:ascii="Times New Roman" w:hAnsi="Times New Roman" w:cs="Times New Roman"/>
          <w:sz w:val="16"/>
          <w:szCs w:val="16"/>
        </w:rPr>
        <w:t xml:space="preserve"> was normally attached to a particular territory within the Empire, but there were some </w:t>
      </w:r>
      <w:r w:rsidRPr="005E770B">
        <w:rPr>
          <w:rFonts w:ascii="Times New Roman" w:hAnsi="Times New Roman" w:cs="Times New Roman"/>
          <w:i/>
          <w:iCs/>
          <w:sz w:val="16"/>
          <w:szCs w:val="16"/>
          <w:lang w:val="de-DE"/>
        </w:rPr>
        <w:t>reichsständische Personalisten</w:t>
      </w:r>
      <w:r w:rsidRPr="005E770B">
        <w:rPr>
          <w:rFonts w:ascii="Times New Roman" w:hAnsi="Times New Roman" w:cs="Times New Roman"/>
          <w:sz w:val="16"/>
          <w:szCs w:val="16"/>
        </w:rPr>
        <w:t xml:space="preserve">, or "persons with Imperial statehood". Originally, the Emperor alone could grant that status, but in 1653, several restrictions on the </w:t>
      </w:r>
      <w:proofErr w:type="gramStart"/>
      <w:r w:rsidRPr="005E770B">
        <w:rPr>
          <w:rFonts w:ascii="Times New Roman" w:hAnsi="Times New Roman" w:cs="Times New Roman"/>
          <w:sz w:val="16"/>
          <w:szCs w:val="16"/>
        </w:rPr>
        <w:t>Emperor's</w:t>
      </w:r>
      <w:proofErr w:type="gramEnd"/>
      <w:r w:rsidRPr="005E770B">
        <w:rPr>
          <w:rFonts w:ascii="Times New Roman" w:hAnsi="Times New Roman" w:cs="Times New Roman"/>
          <w:sz w:val="16"/>
          <w:szCs w:val="16"/>
        </w:rPr>
        <w:t xml:space="preserve"> power were introduced. The creation of a new Estate required the assent of the College of Electors and of the College of Princes, i.e., </w:t>
      </w:r>
      <w:r w:rsidRPr="005E770B">
        <w:rPr>
          <w:rFonts w:ascii="Times New Roman" w:hAnsi="Times New Roman" w:cs="Times New Roman"/>
          <w:i/>
          <w:iCs/>
          <w:sz w:val="16"/>
          <w:szCs w:val="16"/>
          <w:lang w:val="de-DE"/>
        </w:rPr>
        <w:t>Reichstag</w:t>
      </w:r>
      <w:r w:rsidRPr="005E770B">
        <w:rPr>
          <w:rFonts w:ascii="Times New Roman" w:hAnsi="Times New Roman" w:cs="Times New Roman"/>
          <w:sz w:val="16"/>
          <w:szCs w:val="16"/>
        </w:rPr>
        <w:t xml:space="preserve">. The ruler was required to agree to accept Imperial taxation and military obligations. Furthermore, the Estate was required to obtain admittance into one of the Imperial Circles. Theoretically, personalist Estates were forbidden after 1653, but exceptions were often made. Once a territory attained the status of an Estate, it could only lose that status under very few circumstances. </w:t>
      </w:r>
      <w:proofErr w:type="gramStart"/>
      <w:r w:rsidRPr="005E770B">
        <w:rPr>
          <w:rFonts w:ascii="Times New Roman" w:hAnsi="Times New Roman" w:cs="Times New Roman"/>
          <w:sz w:val="16"/>
          <w:szCs w:val="16"/>
        </w:rPr>
        <w:t>A territory</w:t>
      </w:r>
      <w:proofErr w:type="gramEnd"/>
      <w:r w:rsidRPr="005E770B">
        <w:rPr>
          <w:rFonts w:ascii="Times New Roman" w:hAnsi="Times New Roman" w:cs="Times New Roman"/>
          <w:sz w:val="16"/>
          <w:szCs w:val="16"/>
        </w:rPr>
        <w:t xml:space="preserve"> ceded to a foreign power ceased to be an Estate.</w:t>
      </w:r>
    </w:p>
    <w:p w14:paraId="6DD226D9"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32293570"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From 1648 onwards, inheritance of the Estate was limited to one family; a territory inherited by a different family ceased to be an Estate unless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explicitly allowed otherwise. Finally, a territory could cease to be an Imperial Estate by being subjected to the Imperial ban, the most notable example involved Frederick V, Elector Palatine, who was banned in 1621 for his participation in the Bohemian Revolt, i.e., an uprising of the Bohemian estates against the rule of the Habsburg dynasty that began the </w:t>
      </w:r>
      <w:r w:rsidRPr="005E770B">
        <w:rPr>
          <w:rFonts w:ascii="Times New Roman" w:hAnsi="Times New Roman" w:cs="Times New Roman"/>
          <w:b/>
          <w:bCs/>
          <w:sz w:val="16"/>
          <w:szCs w:val="16"/>
        </w:rPr>
        <w:t>Thirty Years' War</w:t>
      </w:r>
      <w:r w:rsidRPr="005E770B">
        <w:rPr>
          <w:rFonts w:ascii="Times New Roman" w:hAnsi="Times New Roman" w:cs="Times New Roman"/>
          <w:sz w:val="16"/>
          <w:szCs w:val="16"/>
        </w:rPr>
        <w:t xml:space="preserve">. In the German mediatization between 1803 and 1806, </w:t>
      </w:r>
      <w:proofErr w:type="gramStart"/>
      <w:r w:rsidRPr="005E770B">
        <w:rPr>
          <w:rFonts w:ascii="Times New Roman" w:hAnsi="Times New Roman" w:cs="Times New Roman"/>
          <w:sz w:val="16"/>
          <w:szCs w:val="16"/>
        </w:rPr>
        <w:t>the vast majority of</w:t>
      </w:r>
      <w:proofErr w:type="gramEnd"/>
      <w:r w:rsidRPr="005E770B">
        <w:rPr>
          <w:rFonts w:ascii="Times New Roman" w:hAnsi="Times New Roman" w:cs="Times New Roman"/>
          <w:sz w:val="16"/>
          <w:szCs w:val="16"/>
        </w:rPr>
        <w:t xml:space="preserve"> the Estates of the Holy Roman Empire were mediatized. They lost their Imperial immediacy and became part of other Estates. The number of Estates was reduced from about three hundred to about thirty. Mediatization went along with secularization: the abolition of most of the ecclesiastical Estates. This dissolution of the constitution of the structure of the empire was soon followed by the dissolution of the empire </w:t>
      </w:r>
      <w:proofErr w:type="gramStart"/>
      <w:r w:rsidRPr="005E770B">
        <w:rPr>
          <w:rFonts w:ascii="Times New Roman" w:hAnsi="Times New Roman" w:cs="Times New Roman"/>
          <w:sz w:val="16"/>
          <w:szCs w:val="16"/>
        </w:rPr>
        <w:t>itself,</w:t>
      </w:r>
      <w:proofErr w:type="gramEnd"/>
      <w:r w:rsidRPr="005E770B">
        <w:rPr>
          <w:rFonts w:ascii="Times New Roman" w:hAnsi="Times New Roman" w:cs="Times New Roman"/>
          <w:sz w:val="16"/>
          <w:szCs w:val="16"/>
        </w:rPr>
        <w:t xml:space="preserve"> in 1806.</w:t>
      </w:r>
    </w:p>
    <w:p w14:paraId="71F3E506"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34A60121"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b/>
          <w:bCs/>
          <w:sz w:val="16"/>
          <w:szCs w:val="16"/>
        </w:rPr>
        <w:t xml:space="preserve">Rights and privileges: </w:t>
      </w:r>
      <w:r w:rsidRPr="005E770B">
        <w:rPr>
          <w:rFonts w:ascii="Times New Roman" w:hAnsi="Times New Roman" w:cs="Times New Roman"/>
          <w:sz w:val="16"/>
          <w:szCs w:val="16"/>
        </w:rPr>
        <w:t xml:space="preserve">Rulers of Imperial States enjoyed precedence over other subjects in the Empire. Electors were originally styled </w:t>
      </w:r>
      <w:r w:rsidRPr="005E770B">
        <w:rPr>
          <w:rFonts w:ascii="Times New Roman" w:hAnsi="Times New Roman" w:cs="Times New Roman"/>
          <w:i/>
          <w:iCs/>
          <w:sz w:val="16"/>
          <w:szCs w:val="16"/>
          <w:lang w:val="de-DE"/>
        </w:rPr>
        <w:t>Durchlaucht</w:t>
      </w:r>
      <w:r w:rsidRPr="005E770B">
        <w:rPr>
          <w:rFonts w:ascii="Times New Roman" w:hAnsi="Times New Roman" w:cs="Times New Roman"/>
          <w:sz w:val="16"/>
          <w:szCs w:val="16"/>
        </w:rPr>
        <w:t xml:space="preserve"> (Serene Highness), princes </w:t>
      </w:r>
      <w:r w:rsidRPr="005E770B">
        <w:rPr>
          <w:rFonts w:ascii="Times New Roman" w:hAnsi="Times New Roman" w:cs="Times New Roman"/>
          <w:i/>
          <w:iCs/>
          <w:sz w:val="16"/>
          <w:szCs w:val="16"/>
          <w:lang w:val="de-DE"/>
        </w:rPr>
        <w:t>Hochgeboren</w:t>
      </w:r>
      <w:r w:rsidRPr="005E770B">
        <w:rPr>
          <w:rFonts w:ascii="Times New Roman" w:hAnsi="Times New Roman" w:cs="Times New Roman"/>
          <w:sz w:val="16"/>
          <w:szCs w:val="16"/>
        </w:rPr>
        <w:t xml:space="preserve"> (high-born) and counts </w:t>
      </w:r>
      <w:r w:rsidRPr="005E770B">
        <w:rPr>
          <w:rFonts w:ascii="Times New Roman" w:hAnsi="Times New Roman" w:cs="Times New Roman"/>
          <w:i/>
          <w:iCs/>
          <w:sz w:val="16"/>
          <w:szCs w:val="16"/>
          <w:lang w:val="de-DE"/>
        </w:rPr>
        <w:t>Hoch- und Wohlgeboren</w:t>
      </w:r>
      <w:r w:rsidRPr="005E770B">
        <w:rPr>
          <w:rFonts w:ascii="Times New Roman" w:hAnsi="Times New Roman" w:cs="Times New Roman"/>
          <w:sz w:val="16"/>
          <w:szCs w:val="16"/>
        </w:rPr>
        <w:t xml:space="preserve"> (high and well-born). In the eighteenth century, the electors were upgraded to </w:t>
      </w:r>
      <w:r w:rsidRPr="005E770B">
        <w:rPr>
          <w:rFonts w:ascii="Times New Roman" w:hAnsi="Times New Roman" w:cs="Times New Roman"/>
          <w:i/>
          <w:iCs/>
          <w:sz w:val="16"/>
          <w:szCs w:val="16"/>
          <w:lang w:val="de-DE"/>
        </w:rPr>
        <w:t>Durchläuchtigste</w:t>
      </w:r>
      <w:r w:rsidRPr="005E770B">
        <w:rPr>
          <w:rFonts w:ascii="Times New Roman" w:hAnsi="Times New Roman" w:cs="Times New Roman"/>
          <w:sz w:val="16"/>
          <w:szCs w:val="16"/>
        </w:rPr>
        <w:t xml:space="preserve"> (Most Serene Highness), princes to </w:t>
      </w:r>
      <w:r w:rsidRPr="005E770B">
        <w:rPr>
          <w:rFonts w:ascii="Times New Roman" w:hAnsi="Times New Roman" w:cs="Times New Roman"/>
          <w:i/>
          <w:iCs/>
          <w:sz w:val="16"/>
          <w:szCs w:val="16"/>
          <w:lang w:val="de-DE"/>
        </w:rPr>
        <w:t>Durchlaucht</w:t>
      </w:r>
      <w:r w:rsidRPr="005E770B">
        <w:rPr>
          <w:rFonts w:ascii="Times New Roman" w:hAnsi="Times New Roman" w:cs="Times New Roman"/>
          <w:sz w:val="16"/>
          <w:szCs w:val="16"/>
        </w:rPr>
        <w:t xml:space="preserve"> (Serene Highness) and counts to </w:t>
      </w:r>
      <w:r w:rsidRPr="005E770B">
        <w:rPr>
          <w:rFonts w:ascii="Times New Roman" w:hAnsi="Times New Roman" w:cs="Times New Roman"/>
          <w:i/>
          <w:iCs/>
          <w:sz w:val="16"/>
          <w:szCs w:val="16"/>
          <w:lang w:val="de-DE"/>
        </w:rPr>
        <w:t>Erlaucht</w:t>
      </w:r>
      <w:r w:rsidRPr="005E770B">
        <w:rPr>
          <w:rFonts w:ascii="Times New Roman" w:hAnsi="Times New Roman" w:cs="Times New Roman"/>
          <w:sz w:val="16"/>
          <w:szCs w:val="16"/>
        </w:rPr>
        <w:t xml:space="preserve"> (Illustrious Highness).</w:t>
      </w:r>
    </w:p>
    <w:p w14:paraId="5F8622D5"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Imperial States enjoyed several rights and privileges. Rulers had autonomy </w:t>
      </w:r>
      <w:proofErr w:type="gramStart"/>
      <w:r w:rsidRPr="005E770B">
        <w:rPr>
          <w:rFonts w:ascii="Times New Roman" w:hAnsi="Times New Roman" w:cs="Times New Roman"/>
          <w:sz w:val="16"/>
          <w:szCs w:val="16"/>
        </w:rPr>
        <w:t>inasmuch as</w:t>
      </w:r>
      <w:proofErr w:type="gramEnd"/>
      <w:r w:rsidRPr="005E770B">
        <w:rPr>
          <w:rFonts w:ascii="Times New Roman" w:hAnsi="Times New Roman" w:cs="Times New Roman"/>
          <w:sz w:val="16"/>
          <w:szCs w:val="16"/>
        </w:rPr>
        <w:t xml:space="preserve"> their families were concerned; in particular, they were permitted to make rules regarding the inheritance of their states without imperial interference. They were permitted to make treaties and </w:t>
      </w:r>
      <w:proofErr w:type="gramStart"/>
      <w:r w:rsidRPr="005E770B">
        <w:rPr>
          <w:rFonts w:ascii="Times New Roman" w:hAnsi="Times New Roman" w:cs="Times New Roman"/>
          <w:sz w:val="16"/>
          <w:szCs w:val="16"/>
        </w:rPr>
        <w:t>enter into</w:t>
      </w:r>
      <w:proofErr w:type="gramEnd"/>
      <w:r w:rsidRPr="005E770B">
        <w:rPr>
          <w:rFonts w:ascii="Times New Roman" w:hAnsi="Times New Roman" w:cs="Times New Roman"/>
          <w:sz w:val="16"/>
          <w:szCs w:val="16"/>
        </w:rPr>
        <w:t xml:space="preserve"> alliances with other Imperial States as well as with foreign nations. The electors, but not the other rulers, were permitted to exercise certain regalian powers, including the power to mint money, the power to collect tolls and a monopoly over gold and silver mines.</w:t>
      </w:r>
    </w:p>
    <w:p w14:paraId="37F32909"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067A0814"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b/>
          <w:bCs/>
          <w:sz w:val="16"/>
          <w:szCs w:val="16"/>
        </w:rPr>
        <w:t>Count</w:t>
      </w:r>
      <w:r w:rsidRPr="005E770B">
        <w:rPr>
          <w:rFonts w:ascii="Times New Roman" w:hAnsi="Times New Roman" w:cs="Times New Roman"/>
          <w:sz w:val="16"/>
          <w:szCs w:val="16"/>
        </w:rPr>
        <w:t xml:space="preserve"> or </w:t>
      </w:r>
      <w:r w:rsidRPr="005E770B">
        <w:rPr>
          <w:rFonts w:ascii="Times New Roman" w:hAnsi="Times New Roman" w:cs="Times New Roman"/>
          <w:b/>
          <w:bCs/>
          <w:sz w:val="16"/>
          <w:szCs w:val="16"/>
        </w:rPr>
        <w:t>Countess</w:t>
      </w:r>
      <w:r w:rsidRPr="005E770B">
        <w:rPr>
          <w:rFonts w:ascii="Times New Roman" w:hAnsi="Times New Roman" w:cs="Times New Roman"/>
          <w:sz w:val="16"/>
          <w:szCs w:val="16"/>
        </w:rPr>
        <w:t xml:space="preserve"> is a historical </w:t>
      </w:r>
      <w:r w:rsidRPr="005E770B">
        <w:rPr>
          <w:rFonts w:ascii="Times New Roman" w:hAnsi="Times New Roman" w:cs="Times New Roman"/>
          <w:b/>
          <w:bCs/>
          <w:i/>
          <w:iCs/>
          <w:sz w:val="16"/>
          <w:szCs w:val="16"/>
        </w:rPr>
        <w:t>title of nobility</w:t>
      </w:r>
      <w:r w:rsidRPr="005E770B">
        <w:rPr>
          <w:rFonts w:ascii="Times New Roman" w:hAnsi="Times New Roman" w:cs="Times New Roman"/>
          <w:sz w:val="16"/>
          <w:szCs w:val="16"/>
        </w:rPr>
        <w:t xml:space="preserve"> in certain European countries, varying in relative status, generally of middling rank in the hierarchy of nobility. Especially in earlier medieval periods the term often implied not only a certain status, but also that the </w:t>
      </w:r>
      <w:r w:rsidRPr="005E770B">
        <w:rPr>
          <w:rFonts w:ascii="Times New Roman" w:hAnsi="Times New Roman" w:cs="Times New Roman"/>
          <w:i/>
          <w:iCs/>
          <w:sz w:val="16"/>
          <w:szCs w:val="16"/>
        </w:rPr>
        <w:t>count</w:t>
      </w:r>
      <w:r w:rsidRPr="005E770B">
        <w:rPr>
          <w:rFonts w:ascii="Times New Roman" w:hAnsi="Times New Roman" w:cs="Times New Roman"/>
          <w:sz w:val="16"/>
          <w:szCs w:val="16"/>
        </w:rPr>
        <w:t xml:space="preserve"> had specific responsibilities or offices. The etymologically related English term "county" denoted the territories associated with some countships, but not all. The title of </w:t>
      </w:r>
      <w:r w:rsidRPr="005E770B">
        <w:rPr>
          <w:rFonts w:ascii="Times New Roman" w:hAnsi="Times New Roman" w:cs="Times New Roman"/>
          <w:i/>
          <w:iCs/>
          <w:sz w:val="16"/>
          <w:szCs w:val="16"/>
        </w:rPr>
        <w:t>count</w:t>
      </w:r>
      <w:r w:rsidRPr="005E770B">
        <w:rPr>
          <w:rFonts w:ascii="Times New Roman" w:hAnsi="Times New Roman" w:cs="Times New Roman"/>
          <w:sz w:val="16"/>
          <w:szCs w:val="16"/>
        </w:rPr>
        <w:t xml:space="preserve"> is typically not used in England or English-speaking countries, with the equivalent title </w:t>
      </w:r>
      <w:r w:rsidRPr="005E770B">
        <w:rPr>
          <w:rFonts w:ascii="Times New Roman" w:hAnsi="Times New Roman" w:cs="Times New Roman"/>
          <w:i/>
          <w:iCs/>
          <w:sz w:val="16"/>
          <w:szCs w:val="16"/>
        </w:rPr>
        <w:t>earl</w:t>
      </w:r>
      <w:r w:rsidRPr="005E770B">
        <w:rPr>
          <w:rFonts w:ascii="Times New Roman" w:hAnsi="Times New Roman" w:cs="Times New Roman"/>
          <w:sz w:val="16"/>
          <w:szCs w:val="16"/>
        </w:rPr>
        <w:t xml:space="preserve"> used instead. As a feminine form of </w:t>
      </w:r>
      <w:r w:rsidRPr="005E770B">
        <w:rPr>
          <w:rFonts w:ascii="Times New Roman" w:hAnsi="Times New Roman" w:cs="Times New Roman"/>
          <w:i/>
          <w:iCs/>
          <w:sz w:val="16"/>
          <w:szCs w:val="16"/>
        </w:rPr>
        <w:t>earl</w:t>
      </w:r>
      <w:r w:rsidRPr="005E770B">
        <w:rPr>
          <w:rFonts w:ascii="Times New Roman" w:hAnsi="Times New Roman" w:cs="Times New Roman"/>
          <w:sz w:val="16"/>
          <w:szCs w:val="16"/>
        </w:rPr>
        <w:t xml:space="preserve"> never developed, the female equivalent </w:t>
      </w:r>
      <w:r w:rsidRPr="005E770B">
        <w:rPr>
          <w:rFonts w:ascii="Times New Roman" w:hAnsi="Times New Roman" w:cs="Times New Roman"/>
          <w:i/>
          <w:iCs/>
          <w:sz w:val="16"/>
          <w:szCs w:val="16"/>
        </w:rPr>
        <w:t>countess</w:t>
      </w:r>
      <w:r w:rsidRPr="005E770B">
        <w:rPr>
          <w:rFonts w:ascii="Times New Roman" w:hAnsi="Times New Roman" w:cs="Times New Roman"/>
          <w:sz w:val="16"/>
          <w:szCs w:val="16"/>
        </w:rPr>
        <w:t xml:space="preserve"> is retained. The word </w:t>
      </w:r>
      <w:r w:rsidRPr="005E770B">
        <w:rPr>
          <w:rFonts w:ascii="Times New Roman" w:hAnsi="Times New Roman" w:cs="Times New Roman"/>
          <w:i/>
          <w:iCs/>
          <w:sz w:val="16"/>
          <w:szCs w:val="16"/>
        </w:rPr>
        <w:t>count</w:t>
      </w:r>
      <w:r w:rsidRPr="005E770B">
        <w:rPr>
          <w:rFonts w:ascii="Times New Roman" w:hAnsi="Times New Roman" w:cs="Times New Roman"/>
          <w:sz w:val="16"/>
          <w:szCs w:val="16"/>
        </w:rPr>
        <w:t xml:space="preserve"> came into English from the French </w:t>
      </w:r>
      <w:r w:rsidRPr="005E770B">
        <w:rPr>
          <w:rFonts w:ascii="Times New Roman" w:hAnsi="Times New Roman" w:cs="Times New Roman"/>
          <w:i/>
          <w:iCs/>
          <w:sz w:val="16"/>
          <w:szCs w:val="16"/>
          <w:lang w:val="fr-FR"/>
        </w:rPr>
        <w:t>comte</w:t>
      </w:r>
      <w:r w:rsidRPr="005E770B">
        <w:rPr>
          <w:rFonts w:ascii="Times New Roman" w:hAnsi="Times New Roman" w:cs="Times New Roman"/>
          <w:sz w:val="16"/>
          <w:szCs w:val="16"/>
        </w:rPr>
        <w:t xml:space="preserve">, itself from Latin </w:t>
      </w:r>
      <w:r w:rsidRPr="005E770B">
        <w:rPr>
          <w:rFonts w:ascii="Times New Roman" w:hAnsi="Times New Roman" w:cs="Times New Roman"/>
          <w:b/>
          <w:bCs/>
          <w:i/>
          <w:iCs/>
          <w:sz w:val="16"/>
          <w:szCs w:val="16"/>
          <w:lang w:val="la-Latn"/>
        </w:rPr>
        <w:t>comes</w:t>
      </w:r>
      <w:r w:rsidRPr="005E770B">
        <w:rPr>
          <w:rFonts w:ascii="Times New Roman" w:hAnsi="Times New Roman" w:cs="Times New Roman"/>
          <w:sz w:val="16"/>
          <w:szCs w:val="16"/>
        </w:rPr>
        <w:t xml:space="preserve">—in its accusative form </w:t>
      </w:r>
      <w:proofErr w:type="spellStart"/>
      <w:r w:rsidRPr="005E770B">
        <w:rPr>
          <w:rFonts w:ascii="Times New Roman" w:hAnsi="Times New Roman" w:cs="Times New Roman"/>
          <w:i/>
          <w:iCs/>
          <w:sz w:val="16"/>
          <w:szCs w:val="16"/>
        </w:rPr>
        <w:t>comitem</w:t>
      </w:r>
      <w:proofErr w:type="spellEnd"/>
      <w:r w:rsidRPr="005E770B">
        <w:rPr>
          <w:rFonts w:ascii="Times New Roman" w:hAnsi="Times New Roman" w:cs="Times New Roman"/>
          <w:sz w:val="16"/>
          <w:szCs w:val="16"/>
        </w:rPr>
        <w:t xml:space="preserve">. In Latin, which continued to be used throughout the Middle Ages, the word literally meant "companion" or "attendant", and as a title it indicated that someone was delegated to represent the ruler. In the late Roman Empire, the Latin </w:t>
      </w:r>
      <w:proofErr w:type="gramStart"/>
      <w:r w:rsidRPr="005E770B">
        <w:rPr>
          <w:rFonts w:ascii="Times New Roman" w:hAnsi="Times New Roman" w:cs="Times New Roman"/>
          <w:sz w:val="16"/>
          <w:szCs w:val="16"/>
        </w:rPr>
        <w:t xml:space="preserve">title </w:t>
      </w:r>
      <w:r w:rsidRPr="005E770B">
        <w:rPr>
          <w:rFonts w:ascii="Times New Roman" w:hAnsi="Times New Roman" w:cs="Times New Roman"/>
          <w:i/>
          <w:iCs/>
          <w:sz w:val="16"/>
          <w:szCs w:val="16"/>
        </w:rPr>
        <w:t>comes</w:t>
      </w:r>
      <w:proofErr w:type="gramEnd"/>
      <w:r w:rsidRPr="005E770B">
        <w:rPr>
          <w:rFonts w:ascii="Times New Roman" w:hAnsi="Times New Roman" w:cs="Times New Roman"/>
          <w:sz w:val="16"/>
          <w:szCs w:val="16"/>
        </w:rPr>
        <w:t xml:space="preserve"> denoted the high rank of various courtiers and provincial officials, either military or administrative.</w:t>
      </w:r>
    </w:p>
    <w:p w14:paraId="12949786"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6985A241"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In the Western Roman Empire, "count" came to indicate generically a military commander</w:t>
      </w:r>
      <w:r w:rsidRPr="005E770B">
        <w:rPr>
          <w:rFonts w:ascii="Times New Roman" w:hAnsi="Times New Roman" w:cs="Times New Roman"/>
          <w:sz w:val="16"/>
          <w:szCs w:val="16"/>
          <w:vertAlign w:val="superscript"/>
        </w:rPr>
        <w:t xml:space="preserve"> </w:t>
      </w:r>
      <w:r w:rsidRPr="005E770B">
        <w:rPr>
          <w:rFonts w:ascii="Times New Roman" w:hAnsi="Times New Roman" w:cs="Times New Roman"/>
          <w:sz w:val="16"/>
          <w:szCs w:val="16"/>
        </w:rPr>
        <w:t xml:space="preserve">but was not a specific rank. In the Eastern Roman Empire, from about the seventh century, "count" was a specific rank indicating the commander of two </w:t>
      </w:r>
      <w:r w:rsidRPr="005E770B">
        <w:rPr>
          <w:rFonts w:ascii="Times New Roman" w:hAnsi="Times New Roman" w:cs="Times New Roman"/>
          <w:i/>
          <w:iCs/>
          <w:sz w:val="16"/>
          <w:szCs w:val="16"/>
        </w:rPr>
        <w:t>centuriae</w:t>
      </w:r>
      <w:r w:rsidRPr="005E770B">
        <w:rPr>
          <w:rFonts w:ascii="Times New Roman" w:hAnsi="Times New Roman" w:cs="Times New Roman"/>
          <w:sz w:val="16"/>
          <w:szCs w:val="16"/>
        </w:rPr>
        <w:t xml:space="preserve">, i.e., 200 men. The medieval title of </w:t>
      </w:r>
      <w:r w:rsidRPr="005E770B">
        <w:rPr>
          <w:rFonts w:ascii="Times New Roman" w:hAnsi="Times New Roman" w:cs="Times New Roman"/>
          <w:i/>
          <w:iCs/>
          <w:sz w:val="16"/>
          <w:szCs w:val="16"/>
        </w:rPr>
        <w:t>comes</w:t>
      </w:r>
      <w:r w:rsidRPr="005E770B">
        <w:rPr>
          <w:rFonts w:ascii="Times New Roman" w:hAnsi="Times New Roman" w:cs="Times New Roman"/>
          <w:sz w:val="16"/>
          <w:szCs w:val="16"/>
        </w:rPr>
        <w:t xml:space="preserve"> was, as in the Roman empire, originally not hereditary. It was regarded as an administrative official dependent on the king, until the process of </w:t>
      </w:r>
      <w:proofErr w:type="spellStart"/>
      <w:r w:rsidRPr="005E770B">
        <w:rPr>
          <w:rFonts w:ascii="Times New Roman" w:hAnsi="Times New Roman" w:cs="Times New Roman"/>
          <w:b/>
          <w:bCs/>
          <w:i/>
          <w:iCs/>
          <w:sz w:val="16"/>
          <w:szCs w:val="16"/>
        </w:rPr>
        <w:t>allodialization</w:t>
      </w:r>
      <w:proofErr w:type="spellEnd"/>
      <w:r w:rsidRPr="005E770B">
        <w:rPr>
          <w:rFonts w:ascii="Times New Roman" w:hAnsi="Times New Roman" w:cs="Times New Roman"/>
          <w:sz w:val="16"/>
          <w:szCs w:val="16"/>
        </w:rPr>
        <w:t xml:space="preserve"> via allodial title during the 9th century in which such titles came to be private possessions of noble families. By virtue of their large estates, many counts could pass the title to their heirs—but not always. For instance, in </w:t>
      </w:r>
      <w:proofErr w:type="spellStart"/>
      <w:r w:rsidRPr="005E770B">
        <w:rPr>
          <w:rFonts w:ascii="Times New Roman" w:hAnsi="Times New Roman" w:cs="Times New Roman"/>
          <w:sz w:val="16"/>
          <w:szCs w:val="16"/>
        </w:rPr>
        <w:t>Piast</w:t>
      </w:r>
      <w:proofErr w:type="spellEnd"/>
      <w:r w:rsidRPr="005E770B">
        <w:rPr>
          <w:rFonts w:ascii="Times New Roman" w:hAnsi="Times New Roman" w:cs="Times New Roman"/>
          <w:sz w:val="16"/>
          <w:szCs w:val="16"/>
        </w:rPr>
        <w:t xml:space="preserve"> Poland, the position of </w:t>
      </w:r>
      <w:proofErr w:type="spellStart"/>
      <w:r w:rsidRPr="005E770B">
        <w:rPr>
          <w:rFonts w:ascii="Times New Roman" w:hAnsi="Times New Roman" w:cs="Times New Roman"/>
          <w:i/>
          <w:iCs/>
          <w:sz w:val="16"/>
          <w:szCs w:val="16"/>
        </w:rPr>
        <w:t>komes</w:t>
      </w:r>
      <w:proofErr w:type="spellEnd"/>
      <w:r w:rsidRPr="005E770B">
        <w:rPr>
          <w:rFonts w:ascii="Times New Roman" w:hAnsi="Times New Roman" w:cs="Times New Roman"/>
          <w:sz w:val="16"/>
          <w:szCs w:val="16"/>
        </w:rPr>
        <w:t xml:space="preserve"> was not hereditary, resembling the early Merovingian institution. The title had disappeared by the era of the </w:t>
      </w:r>
      <w:proofErr w:type="gramStart"/>
      <w:r w:rsidRPr="005E770B">
        <w:rPr>
          <w:rFonts w:ascii="Times New Roman" w:hAnsi="Times New Roman" w:cs="Times New Roman"/>
          <w:sz w:val="16"/>
          <w:szCs w:val="16"/>
        </w:rPr>
        <w:t>Polish–Lithuanian</w:t>
      </w:r>
      <w:proofErr w:type="gramEnd"/>
      <w:r w:rsidRPr="005E770B">
        <w:rPr>
          <w:rFonts w:ascii="Times New Roman" w:hAnsi="Times New Roman" w:cs="Times New Roman"/>
          <w:sz w:val="16"/>
          <w:szCs w:val="16"/>
        </w:rPr>
        <w:t xml:space="preserve"> Commonwealth, and the office had been replaced by others. Only after the Partitions of Poland did the title of "count" resurface in the title </w:t>
      </w:r>
      <w:proofErr w:type="spellStart"/>
      <w:r w:rsidRPr="005E770B">
        <w:rPr>
          <w:rFonts w:ascii="Times New Roman" w:hAnsi="Times New Roman" w:cs="Times New Roman"/>
          <w:i/>
          <w:iCs/>
          <w:sz w:val="16"/>
          <w:szCs w:val="16"/>
        </w:rPr>
        <w:t>hrabia</w:t>
      </w:r>
      <w:proofErr w:type="spellEnd"/>
      <w:r w:rsidRPr="005E770B">
        <w:rPr>
          <w:rFonts w:ascii="Times New Roman" w:hAnsi="Times New Roman" w:cs="Times New Roman"/>
          <w:sz w:val="16"/>
          <w:szCs w:val="16"/>
        </w:rPr>
        <w:t xml:space="preserve">, derived from the German </w:t>
      </w:r>
      <w:r w:rsidRPr="005E770B">
        <w:rPr>
          <w:rFonts w:ascii="Times New Roman" w:hAnsi="Times New Roman" w:cs="Times New Roman"/>
          <w:i/>
          <w:iCs/>
          <w:sz w:val="16"/>
          <w:szCs w:val="16"/>
        </w:rPr>
        <w:t>Graf</w:t>
      </w:r>
      <w:r w:rsidRPr="005E770B">
        <w:rPr>
          <w:rFonts w:ascii="Times New Roman" w:hAnsi="Times New Roman" w:cs="Times New Roman"/>
          <w:sz w:val="16"/>
          <w:szCs w:val="16"/>
        </w:rPr>
        <w:t xml:space="preserve">. In the Frankish kingdoms in the early Middle Ages, a count might also be a count palatine, whose authority derived directly over a royal household, a palace in its original sense of the seat of power and administration. This other kind of count had vague antecedents in Late Antiquity too: the father of Cassiodorus held positions of trust with Theodoric, as </w:t>
      </w:r>
      <w:r w:rsidRPr="005E770B">
        <w:rPr>
          <w:rFonts w:ascii="Times New Roman" w:hAnsi="Times New Roman" w:cs="Times New Roman"/>
          <w:i/>
          <w:iCs/>
          <w:sz w:val="16"/>
          <w:szCs w:val="16"/>
        </w:rPr>
        <w:t xml:space="preserve">comes rerum </w:t>
      </w:r>
      <w:proofErr w:type="spellStart"/>
      <w:r w:rsidRPr="005E770B">
        <w:rPr>
          <w:rFonts w:ascii="Times New Roman" w:hAnsi="Times New Roman" w:cs="Times New Roman"/>
          <w:i/>
          <w:iCs/>
          <w:sz w:val="16"/>
          <w:szCs w:val="16"/>
        </w:rPr>
        <w:t>privatarum</w:t>
      </w:r>
      <w:proofErr w:type="spellEnd"/>
      <w:r w:rsidRPr="005E770B">
        <w:rPr>
          <w:rFonts w:ascii="Times New Roman" w:hAnsi="Times New Roman" w:cs="Times New Roman"/>
          <w:sz w:val="16"/>
          <w:szCs w:val="16"/>
        </w:rPr>
        <w:t xml:space="preserve">, in charge of the imperial lands, then as </w:t>
      </w:r>
      <w:r w:rsidRPr="005E770B">
        <w:rPr>
          <w:rFonts w:ascii="Times New Roman" w:hAnsi="Times New Roman" w:cs="Times New Roman"/>
          <w:i/>
          <w:iCs/>
          <w:sz w:val="16"/>
          <w:szCs w:val="16"/>
        </w:rPr>
        <w:t xml:space="preserve">comes </w:t>
      </w:r>
      <w:proofErr w:type="spellStart"/>
      <w:r w:rsidRPr="005E770B">
        <w:rPr>
          <w:rFonts w:ascii="Times New Roman" w:hAnsi="Times New Roman" w:cs="Times New Roman"/>
          <w:i/>
          <w:iCs/>
          <w:sz w:val="16"/>
          <w:szCs w:val="16"/>
        </w:rPr>
        <w:t>sacrarum</w:t>
      </w:r>
      <w:proofErr w:type="spellEnd"/>
      <w:r w:rsidRPr="005E770B">
        <w:rPr>
          <w:rFonts w:ascii="Times New Roman" w:hAnsi="Times New Roman" w:cs="Times New Roman"/>
          <w:i/>
          <w:iCs/>
          <w:sz w:val="16"/>
          <w:szCs w:val="16"/>
        </w:rPr>
        <w:t xml:space="preserve"> </w:t>
      </w:r>
      <w:proofErr w:type="spellStart"/>
      <w:r w:rsidRPr="005E770B">
        <w:rPr>
          <w:rFonts w:ascii="Times New Roman" w:hAnsi="Times New Roman" w:cs="Times New Roman"/>
          <w:i/>
          <w:iCs/>
          <w:sz w:val="16"/>
          <w:szCs w:val="16"/>
        </w:rPr>
        <w:t>largitionum</w:t>
      </w:r>
      <w:proofErr w:type="spellEnd"/>
      <w:r w:rsidRPr="005E770B">
        <w:rPr>
          <w:rFonts w:ascii="Times New Roman" w:hAnsi="Times New Roman" w:cs="Times New Roman"/>
          <w:sz w:val="16"/>
          <w:szCs w:val="16"/>
        </w:rPr>
        <w:t xml:space="preserve"> ("count of the sacred doles"), concerned with the finances of the realm.</w:t>
      </w:r>
    </w:p>
    <w:p w14:paraId="46AE88C1"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30C13898"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b/>
          <w:bCs/>
          <w:sz w:val="16"/>
          <w:szCs w:val="16"/>
        </w:rPr>
        <w:t xml:space="preserve">Land attached to title: </w:t>
      </w:r>
      <w:r w:rsidRPr="005E770B">
        <w:rPr>
          <w:rFonts w:ascii="Times New Roman" w:hAnsi="Times New Roman" w:cs="Times New Roman"/>
          <w:sz w:val="16"/>
          <w:szCs w:val="16"/>
        </w:rPr>
        <w:t xml:space="preserve">It is only after some time that the continental medieval title came to be strongly associated with the ownership of and jurisdiction over specific lands, which led to evolution of the term </w:t>
      </w:r>
      <w:r w:rsidRPr="005E770B">
        <w:rPr>
          <w:rFonts w:ascii="Times New Roman" w:hAnsi="Times New Roman" w:cs="Times New Roman"/>
          <w:i/>
          <w:iCs/>
          <w:sz w:val="16"/>
          <w:szCs w:val="16"/>
        </w:rPr>
        <w:t>county</w:t>
      </w:r>
      <w:r w:rsidRPr="005E770B">
        <w:rPr>
          <w:rFonts w:ascii="Times New Roman" w:hAnsi="Times New Roman" w:cs="Times New Roman"/>
          <w:sz w:val="16"/>
          <w:szCs w:val="16"/>
        </w:rPr>
        <w:t xml:space="preserve"> to refer to specific regions. The English term county, used as an equivalent to the English term shire or county seat, is derived from the Old French </w:t>
      </w:r>
      <w:proofErr w:type="spellStart"/>
      <w:r w:rsidRPr="005E770B">
        <w:rPr>
          <w:rFonts w:ascii="Times New Roman" w:hAnsi="Times New Roman" w:cs="Times New Roman"/>
          <w:i/>
          <w:iCs/>
          <w:sz w:val="16"/>
          <w:szCs w:val="16"/>
        </w:rPr>
        <w:t>conté</w:t>
      </w:r>
      <w:proofErr w:type="spellEnd"/>
      <w:r w:rsidRPr="005E770B">
        <w:rPr>
          <w:rFonts w:ascii="Times New Roman" w:hAnsi="Times New Roman" w:cs="Times New Roman"/>
          <w:sz w:val="16"/>
          <w:szCs w:val="16"/>
        </w:rPr>
        <w:t xml:space="preserve"> or </w:t>
      </w:r>
      <w:proofErr w:type="spellStart"/>
      <w:r w:rsidRPr="005E770B">
        <w:rPr>
          <w:rFonts w:ascii="Times New Roman" w:hAnsi="Times New Roman" w:cs="Times New Roman"/>
          <w:i/>
          <w:iCs/>
          <w:sz w:val="16"/>
          <w:szCs w:val="16"/>
        </w:rPr>
        <w:t>cunté</w:t>
      </w:r>
      <w:proofErr w:type="spellEnd"/>
      <w:r w:rsidRPr="005E770B">
        <w:rPr>
          <w:rFonts w:ascii="Times New Roman" w:hAnsi="Times New Roman" w:cs="Times New Roman"/>
          <w:sz w:val="16"/>
          <w:szCs w:val="16"/>
        </w:rPr>
        <w:t xml:space="preserve"> which denoted the jurisdiction of a French count or viscount. The modern French is </w:t>
      </w:r>
      <w:proofErr w:type="spellStart"/>
      <w:r w:rsidRPr="005E770B">
        <w:rPr>
          <w:rFonts w:ascii="Times New Roman" w:hAnsi="Times New Roman" w:cs="Times New Roman"/>
          <w:i/>
          <w:iCs/>
          <w:sz w:val="16"/>
          <w:szCs w:val="16"/>
        </w:rPr>
        <w:t>comté</w:t>
      </w:r>
      <w:proofErr w:type="spellEnd"/>
      <w:r w:rsidRPr="005E770B">
        <w:rPr>
          <w:rFonts w:ascii="Times New Roman" w:hAnsi="Times New Roman" w:cs="Times New Roman"/>
          <w:sz w:val="16"/>
          <w:szCs w:val="16"/>
        </w:rPr>
        <w:t xml:space="preserve">, and its equivalents in other languages are </w:t>
      </w:r>
      <w:proofErr w:type="spellStart"/>
      <w:r w:rsidRPr="005E770B">
        <w:rPr>
          <w:rFonts w:ascii="Times New Roman" w:hAnsi="Times New Roman" w:cs="Times New Roman"/>
          <w:i/>
          <w:iCs/>
          <w:sz w:val="16"/>
          <w:szCs w:val="16"/>
        </w:rPr>
        <w:t>contea</w:t>
      </w:r>
      <w:proofErr w:type="spellEnd"/>
      <w:r w:rsidRPr="005E770B">
        <w:rPr>
          <w:rFonts w:ascii="Times New Roman" w:hAnsi="Times New Roman" w:cs="Times New Roman"/>
          <w:sz w:val="16"/>
          <w:szCs w:val="16"/>
        </w:rPr>
        <w:t xml:space="preserve">, </w:t>
      </w:r>
      <w:proofErr w:type="spellStart"/>
      <w:r w:rsidRPr="005E770B">
        <w:rPr>
          <w:rFonts w:ascii="Times New Roman" w:hAnsi="Times New Roman" w:cs="Times New Roman"/>
          <w:i/>
          <w:iCs/>
          <w:sz w:val="16"/>
          <w:szCs w:val="16"/>
        </w:rPr>
        <w:t>contado</w:t>
      </w:r>
      <w:proofErr w:type="spellEnd"/>
      <w:r w:rsidRPr="005E770B">
        <w:rPr>
          <w:rFonts w:ascii="Times New Roman" w:hAnsi="Times New Roman" w:cs="Times New Roman"/>
          <w:sz w:val="16"/>
          <w:szCs w:val="16"/>
        </w:rPr>
        <w:t xml:space="preserve">, </w:t>
      </w:r>
      <w:proofErr w:type="spellStart"/>
      <w:r w:rsidRPr="005E770B">
        <w:rPr>
          <w:rFonts w:ascii="Times New Roman" w:hAnsi="Times New Roman" w:cs="Times New Roman"/>
          <w:i/>
          <w:iCs/>
          <w:sz w:val="16"/>
          <w:szCs w:val="16"/>
        </w:rPr>
        <w:t>comtat</w:t>
      </w:r>
      <w:proofErr w:type="spellEnd"/>
      <w:r w:rsidRPr="005E770B">
        <w:rPr>
          <w:rFonts w:ascii="Times New Roman" w:hAnsi="Times New Roman" w:cs="Times New Roman"/>
          <w:sz w:val="16"/>
          <w:szCs w:val="16"/>
        </w:rPr>
        <w:t xml:space="preserve">, </w:t>
      </w:r>
      <w:proofErr w:type="spellStart"/>
      <w:r w:rsidRPr="005E770B">
        <w:rPr>
          <w:rFonts w:ascii="Times New Roman" w:hAnsi="Times New Roman" w:cs="Times New Roman"/>
          <w:i/>
          <w:iCs/>
          <w:sz w:val="16"/>
          <w:szCs w:val="16"/>
        </w:rPr>
        <w:t>condado</w:t>
      </w:r>
      <w:proofErr w:type="spellEnd"/>
      <w:r w:rsidRPr="005E770B">
        <w:rPr>
          <w:rFonts w:ascii="Times New Roman" w:hAnsi="Times New Roman" w:cs="Times New Roman"/>
          <w:sz w:val="16"/>
          <w:szCs w:val="16"/>
        </w:rPr>
        <w:t xml:space="preserve">, </w:t>
      </w:r>
      <w:proofErr w:type="spellStart"/>
      <w:r w:rsidRPr="005E770B">
        <w:rPr>
          <w:rFonts w:ascii="Times New Roman" w:hAnsi="Times New Roman" w:cs="Times New Roman"/>
          <w:i/>
          <w:iCs/>
          <w:sz w:val="16"/>
          <w:szCs w:val="16"/>
        </w:rPr>
        <w:t>Grafschaft</w:t>
      </w:r>
      <w:proofErr w:type="spellEnd"/>
      <w:r w:rsidRPr="005E770B">
        <w:rPr>
          <w:rFonts w:ascii="Times New Roman" w:hAnsi="Times New Roman" w:cs="Times New Roman"/>
          <w:sz w:val="16"/>
          <w:szCs w:val="16"/>
        </w:rPr>
        <w:t xml:space="preserve">, </w:t>
      </w:r>
      <w:proofErr w:type="spellStart"/>
      <w:r w:rsidRPr="005E770B">
        <w:rPr>
          <w:rFonts w:ascii="Times New Roman" w:hAnsi="Times New Roman" w:cs="Times New Roman"/>
          <w:i/>
          <w:iCs/>
          <w:sz w:val="16"/>
          <w:szCs w:val="16"/>
        </w:rPr>
        <w:t>graafschap</w:t>
      </w:r>
      <w:proofErr w:type="spellEnd"/>
      <w:r w:rsidRPr="005E770B">
        <w:rPr>
          <w:rFonts w:ascii="Times New Roman" w:hAnsi="Times New Roman" w:cs="Times New Roman"/>
          <w:sz w:val="16"/>
          <w:szCs w:val="16"/>
        </w:rPr>
        <w:t xml:space="preserve">, etc., cf. </w:t>
      </w:r>
      <w:r w:rsidRPr="005E770B">
        <w:rPr>
          <w:rFonts w:ascii="Times New Roman" w:hAnsi="Times New Roman" w:cs="Times New Roman"/>
          <w:i/>
          <w:iCs/>
          <w:sz w:val="16"/>
          <w:szCs w:val="16"/>
        </w:rPr>
        <w:t>conte</w:t>
      </w:r>
      <w:r w:rsidRPr="005E770B">
        <w:rPr>
          <w:rFonts w:ascii="Times New Roman" w:hAnsi="Times New Roman" w:cs="Times New Roman"/>
          <w:sz w:val="16"/>
          <w:szCs w:val="16"/>
        </w:rPr>
        <w:t xml:space="preserve">, </w:t>
      </w:r>
      <w:proofErr w:type="spellStart"/>
      <w:r w:rsidRPr="005E770B">
        <w:rPr>
          <w:rFonts w:ascii="Times New Roman" w:hAnsi="Times New Roman" w:cs="Times New Roman"/>
          <w:i/>
          <w:iCs/>
          <w:sz w:val="16"/>
          <w:szCs w:val="16"/>
        </w:rPr>
        <w:t>comte</w:t>
      </w:r>
      <w:proofErr w:type="spellEnd"/>
      <w:r w:rsidRPr="005E770B">
        <w:rPr>
          <w:rFonts w:ascii="Times New Roman" w:hAnsi="Times New Roman" w:cs="Times New Roman"/>
          <w:sz w:val="16"/>
          <w:szCs w:val="16"/>
        </w:rPr>
        <w:t xml:space="preserve">, </w:t>
      </w:r>
      <w:r w:rsidRPr="005E770B">
        <w:rPr>
          <w:rFonts w:ascii="Times New Roman" w:hAnsi="Times New Roman" w:cs="Times New Roman"/>
          <w:i/>
          <w:iCs/>
          <w:sz w:val="16"/>
          <w:szCs w:val="16"/>
        </w:rPr>
        <w:t>conde</w:t>
      </w:r>
      <w:r w:rsidRPr="005E770B">
        <w:rPr>
          <w:rFonts w:ascii="Times New Roman" w:hAnsi="Times New Roman" w:cs="Times New Roman"/>
          <w:sz w:val="16"/>
          <w:szCs w:val="16"/>
        </w:rPr>
        <w:t xml:space="preserve">, </w:t>
      </w:r>
      <w:r w:rsidRPr="005E770B">
        <w:rPr>
          <w:rFonts w:ascii="Times New Roman" w:hAnsi="Times New Roman" w:cs="Times New Roman"/>
          <w:i/>
          <w:iCs/>
          <w:sz w:val="16"/>
          <w:szCs w:val="16"/>
        </w:rPr>
        <w:t>Graf</w:t>
      </w:r>
      <w:r w:rsidRPr="005E770B">
        <w:rPr>
          <w:rFonts w:ascii="Times New Roman" w:hAnsi="Times New Roman" w:cs="Times New Roman"/>
          <w:sz w:val="16"/>
          <w:szCs w:val="16"/>
        </w:rPr>
        <w:t xml:space="preserve">. The title of Count also continued to exist in cases which are not connected to any specific to a geographical "county". </w:t>
      </w:r>
    </w:p>
    <w:p w14:paraId="7FA4E8F2"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748981EC"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In the United Kingdom, the equivalent "Earl" can also be used as a courtesy title for the eldest son of a duke or marquess. In the Italian states, by contrast, all the sons of certain counts were little counts (</w:t>
      </w:r>
      <w:proofErr w:type="spellStart"/>
      <w:r w:rsidRPr="005E770B">
        <w:rPr>
          <w:rFonts w:ascii="Times New Roman" w:hAnsi="Times New Roman" w:cs="Times New Roman"/>
          <w:i/>
          <w:iCs/>
          <w:sz w:val="16"/>
          <w:szCs w:val="16"/>
        </w:rPr>
        <w:t>contini</w:t>
      </w:r>
      <w:proofErr w:type="spellEnd"/>
      <w:r w:rsidRPr="005E770B">
        <w:rPr>
          <w:rFonts w:ascii="Times New Roman" w:hAnsi="Times New Roman" w:cs="Times New Roman"/>
          <w:sz w:val="16"/>
          <w:szCs w:val="16"/>
        </w:rPr>
        <w:t xml:space="preserve">). In Sweden there is a distinction between counts (Swedish: </w:t>
      </w:r>
      <w:proofErr w:type="spellStart"/>
      <w:r w:rsidRPr="005E770B">
        <w:rPr>
          <w:rFonts w:ascii="Times New Roman" w:hAnsi="Times New Roman" w:cs="Times New Roman"/>
          <w:i/>
          <w:iCs/>
          <w:sz w:val="16"/>
          <w:szCs w:val="16"/>
        </w:rPr>
        <w:t>greve</w:t>
      </w:r>
      <w:proofErr w:type="spellEnd"/>
      <w:r w:rsidRPr="005E770B">
        <w:rPr>
          <w:rFonts w:ascii="Times New Roman" w:hAnsi="Times New Roman" w:cs="Times New Roman"/>
          <w:sz w:val="16"/>
          <w:szCs w:val="16"/>
        </w:rPr>
        <w:t xml:space="preserve">) created before and after 1809. All children in comital families elevated before 1809 were called count/countess. In families elevated after 1809, only the head of the family was called count, the rest have a status </w:t>
      </w:r>
      <w:proofErr w:type="gramStart"/>
      <w:r w:rsidRPr="005E770B">
        <w:rPr>
          <w:rFonts w:ascii="Times New Roman" w:hAnsi="Times New Roman" w:cs="Times New Roman"/>
          <w:sz w:val="16"/>
          <w:szCs w:val="16"/>
        </w:rPr>
        <w:t>similar to</w:t>
      </w:r>
      <w:proofErr w:type="gramEnd"/>
      <w:r w:rsidRPr="005E770B">
        <w:rPr>
          <w:rFonts w:ascii="Times New Roman" w:hAnsi="Times New Roman" w:cs="Times New Roman"/>
          <w:sz w:val="16"/>
          <w:szCs w:val="16"/>
        </w:rPr>
        <w:t xml:space="preserve"> barons and were called by the equivalent of "</w:t>
      </w:r>
      <w:proofErr w:type="spellStart"/>
      <w:r w:rsidRPr="005E770B">
        <w:rPr>
          <w:rFonts w:ascii="Times New Roman" w:hAnsi="Times New Roman" w:cs="Times New Roman"/>
          <w:sz w:val="16"/>
          <w:szCs w:val="16"/>
        </w:rPr>
        <w:t>Mr</w:t>
      </w:r>
      <w:proofErr w:type="spellEnd"/>
      <w:r w:rsidRPr="005E770B">
        <w:rPr>
          <w:rFonts w:ascii="Times New Roman" w:hAnsi="Times New Roman" w:cs="Times New Roman"/>
          <w:sz w:val="16"/>
          <w:szCs w:val="16"/>
        </w:rPr>
        <w:t>/</w:t>
      </w:r>
      <w:proofErr w:type="spellStart"/>
      <w:r w:rsidRPr="005E770B">
        <w:rPr>
          <w:rFonts w:ascii="Times New Roman" w:hAnsi="Times New Roman" w:cs="Times New Roman"/>
          <w:sz w:val="16"/>
          <w:szCs w:val="16"/>
        </w:rPr>
        <w:t>Ms</w:t>
      </w:r>
      <w:proofErr w:type="spellEnd"/>
      <w:r w:rsidRPr="005E770B">
        <w:rPr>
          <w:rFonts w:ascii="Times New Roman" w:hAnsi="Times New Roman" w:cs="Times New Roman"/>
          <w:sz w:val="16"/>
          <w:szCs w:val="16"/>
        </w:rPr>
        <w:t>/</w:t>
      </w:r>
      <w:proofErr w:type="spellStart"/>
      <w:r w:rsidRPr="005E770B">
        <w:rPr>
          <w:rFonts w:ascii="Times New Roman" w:hAnsi="Times New Roman" w:cs="Times New Roman"/>
          <w:sz w:val="16"/>
          <w:szCs w:val="16"/>
        </w:rPr>
        <w:t>Mrs</w:t>
      </w:r>
      <w:proofErr w:type="spellEnd"/>
      <w:r w:rsidRPr="005E770B">
        <w:rPr>
          <w:rFonts w:ascii="Times New Roman" w:hAnsi="Times New Roman" w:cs="Times New Roman"/>
          <w:sz w:val="16"/>
          <w:szCs w:val="16"/>
        </w:rPr>
        <w:t>", before the recognition of titles of nobility was abolished.</w:t>
      </w:r>
    </w:p>
    <w:p w14:paraId="5A4A3E3B"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6D42553E" w14:textId="77777777" w:rsidR="00FA66A2" w:rsidRPr="009C11A9" w:rsidRDefault="00FA66A2" w:rsidP="00FA66A2">
      <w:pPr>
        <w:autoSpaceDE w:val="0"/>
        <w:autoSpaceDN w:val="0"/>
        <w:adjustRightInd w:val="0"/>
        <w:spacing w:after="0"/>
        <w:rPr>
          <w:rFonts w:ascii="Times New Roman" w:hAnsi="Times New Roman" w:cs="Times New Roman"/>
          <w:sz w:val="16"/>
          <w:szCs w:val="16"/>
        </w:rPr>
      </w:pPr>
      <w:r w:rsidRPr="009C11A9">
        <w:rPr>
          <w:rFonts w:ascii="Times New Roman" w:hAnsi="Times New Roman" w:cs="Times New Roman"/>
          <w:b/>
          <w:bCs/>
          <w:sz w:val="16"/>
          <w:szCs w:val="16"/>
        </w:rPr>
        <w:t>Allodial title</w:t>
      </w:r>
      <w:r w:rsidRPr="009C11A9">
        <w:rPr>
          <w:rFonts w:ascii="Times New Roman" w:hAnsi="Times New Roman" w:cs="Times New Roman"/>
          <w:sz w:val="16"/>
          <w:szCs w:val="16"/>
        </w:rPr>
        <w:t xml:space="preserve"> constitutes ownership of real property, i.e., land, buildings, and fixtures that is independent of any superior landlord. </w:t>
      </w:r>
      <w:proofErr w:type="gramStart"/>
      <w:r w:rsidRPr="009C11A9">
        <w:rPr>
          <w:rFonts w:ascii="Times New Roman" w:hAnsi="Times New Roman" w:cs="Times New Roman"/>
          <w:sz w:val="16"/>
          <w:szCs w:val="16"/>
        </w:rPr>
        <w:t>Allodial</w:t>
      </w:r>
      <w:proofErr w:type="gramEnd"/>
      <w:r w:rsidRPr="009C11A9">
        <w:rPr>
          <w:rFonts w:ascii="Times New Roman" w:hAnsi="Times New Roman" w:cs="Times New Roman"/>
          <w:sz w:val="16"/>
          <w:szCs w:val="16"/>
        </w:rPr>
        <w:t xml:space="preserve"> title is related to the concept of land held "in allodium", or land ownership by occupancy and defense of the land. Property owned under allodial title is referred to as allodial land, allodium, or an </w:t>
      </w:r>
      <w:proofErr w:type="spellStart"/>
      <w:r w:rsidRPr="009C11A9">
        <w:rPr>
          <w:rFonts w:ascii="Times New Roman" w:hAnsi="Times New Roman" w:cs="Times New Roman"/>
          <w:sz w:val="16"/>
          <w:szCs w:val="16"/>
        </w:rPr>
        <w:t>allod</w:t>
      </w:r>
      <w:proofErr w:type="spellEnd"/>
      <w:r w:rsidRPr="009C11A9">
        <w:rPr>
          <w:rFonts w:ascii="Times New Roman" w:hAnsi="Times New Roman" w:cs="Times New Roman"/>
          <w:sz w:val="16"/>
          <w:szCs w:val="16"/>
        </w:rPr>
        <w:t xml:space="preserve">. </w:t>
      </w:r>
    </w:p>
    <w:p w14:paraId="24CD1660"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6AE0153F" w14:textId="77777777" w:rsidR="00FA66A2" w:rsidRPr="005E770B" w:rsidRDefault="00FA66A2" w:rsidP="00FA66A2">
      <w:pPr>
        <w:pStyle w:val="ListParagraph"/>
        <w:autoSpaceDE w:val="0"/>
        <w:autoSpaceDN w:val="0"/>
        <w:adjustRightInd w:val="0"/>
        <w:spacing w:after="0"/>
        <w:ind w:left="1075"/>
        <w:rPr>
          <w:rFonts w:ascii="Times New Roman" w:hAnsi="Times New Roman" w:cs="Times New Roman"/>
          <w:sz w:val="16"/>
          <w:szCs w:val="16"/>
        </w:rPr>
      </w:pPr>
      <w:r w:rsidRPr="005E770B">
        <w:rPr>
          <w:rFonts w:ascii="Times New Roman" w:hAnsi="Times New Roman" w:cs="Times New Roman"/>
          <w:sz w:val="16"/>
          <w:szCs w:val="16"/>
        </w:rPr>
        <w:t xml:space="preserve">In the </w:t>
      </w:r>
      <w:proofErr w:type="gramStart"/>
      <w:r w:rsidRPr="005E770B">
        <w:rPr>
          <w:rFonts w:ascii="Times New Roman" w:hAnsi="Times New Roman" w:cs="Times New Roman"/>
          <w:sz w:val="16"/>
          <w:szCs w:val="16"/>
        </w:rPr>
        <w:t>Domesday Book of 1086</w:t>
      </w:r>
      <w:proofErr w:type="gramEnd"/>
      <w:r w:rsidRPr="005E770B">
        <w:rPr>
          <w:rFonts w:ascii="Times New Roman" w:hAnsi="Times New Roman" w:cs="Times New Roman"/>
          <w:sz w:val="16"/>
          <w:szCs w:val="16"/>
        </w:rPr>
        <w:t xml:space="preserve"> it is called </w:t>
      </w:r>
      <w:proofErr w:type="spellStart"/>
      <w:r w:rsidRPr="005E770B">
        <w:rPr>
          <w:rFonts w:ascii="Times New Roman" w:hAnsi="Times New Roman" w:cs="Times New Roman"/>
          <w:sz w:val="16"/>
          <w:szCs w:val="16"/>
        </w:rPr>
        <w:t>alod</w:t>
      </w:r>
      <w:proofErr w:type="spellEnd"/>
      <w:r w:rsidRPr="005E770B">
        <w:rPr>
          <w:rFonts w:ascii="Times New Roman" w:hAnsi="Times New Roman" w:cs="Times New Roman"/>
          <w:sz w:val="16"/>
          <w:szCs w:val="16"/>
        </w:rPr>
        <w:t>. Historically, allodial title was sometimes used to distinguish ownership of land without feudal duties from ownership by feudal tenure which restricted alienation and burdened land with the tenurial rights of a landholder's overlord or sovereign.</w:t>
      </w:r>
    </w:p>
    <w:p w14:paraId="319C10D1"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4B3DF060"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Most property ownership in common law jurisdictions is fee simple. In the United States, the land is subject to eminent domain or condemnation by federal, state and local government, and subject to the imposition of taxes by state and/or local governments, and there is thus no true allodial land. Some U.S. states within the United States notably, Nevada and Texas have provisions for considering land allodial under state law, and the term may be used in other circumstances. Land is "</w:t>
      </w:r>
      <w:r w:rsidRPr="005E770B">
        <w:rPr>
          <w:rFonts w:ascii="Times New Roman" w:hAnsi="Times New Roman" w:cs="Times New Roman"/>
          <w:b/>
          <w:bCs/>
          <w:color w:val="C00000"/>
          <w:sz w:val="16"/>
          <w:szCs w:val="16"/>
        </w:rPr>
        <w:t>held of the Crown</w:t>
      </w:r>
      <w:r w:rsidRPr="005E770B">
        <w:rPr>
          <w:rFonts w:ascii="Times New Roman" w:hAnsi="Times New Roman" w:cs="Times New Roman"/>
          <w:sz w:val="16"/>
          <w:szCs w:val="16"/>
        </w:rPr>
        <w:t xml:space="preserve">" in England and Wales and other jurisdictions in the </w:t>
      </w:r>
      <w:r w:rsidRPr="005E770B">
        <w:rPr>
          <w:rFonts w:ascii="Times New Roman" w:hAnsi="Times New Roman" w:cs="Times New Roman"/>
          <w:b/>
          <w:bCs/>
          <w:sz w:val="16"/>
          <w:szCs w:val="16"/>
        </w:rPr>
        <w:t>Commonwealth realms</w:t>
      </w:r>
      <w:r w:rsidRPr="005E770B">
        <w:rPr>
          <w:rFonts w:ascii="Times New Roman" w:hAnsi="Times New Roman" w:cs="Times New Roman"/>
          <w:sz w:val="16"/>
          <w:szCs w:val="16"/>
        </w:rPr>
        <w:t>. Some land in the Orkney and Shetland Islands, known as udal land, is held in a manner akin to allodial land in that these titles are not subject to the ultimate ownership of the Crown.</w:t>
      </w:r>
    </w:p>
    <w:p w14:paraId="223B7389"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5DCC0E62"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In France, while allodial title existed before the French Revolution, it was rare and limited to ecclesiastical properties and property that had fallen out of feudal ownership. After the French Revolution, allodial title became the norm in France and other civil law countries that were under Napoleonic legal influences. In October 1854, the seigneurial system of Lower Canada, which had been ceded from France to Britain in 1763 at the conclusion of the Seven Years' War, was extinguished by the Seigneurial Tenures Abolition Act of October 1854, and a form </w:t>
      </w:r>
      <w:proofErr w:type="gramStart"/>
      <w:r w:rsidRPr="005E770B">
        <w:rPr>
          <w:rFonts w:ascii="Times New Roman" w:hAnsi="Times New Roman" w:cs="Times New Roman"/>
          <w:sz w:val="16"/>
          <w:szCs w:val="16"/>
        </w:rPr>
        <w:t>similar to</w:t>
      </w:r>
      <w:proofErr w:type="gramEnd"/>
      <w:r w:rsidRPr="005E770B">
        <w:rPr>
          <w:rFonts w:ascii="Times New Roman" w:hAnsi="Times New Roman" w:cs="Times New Roman"/>
          <w:sz w:val="16"/>
          <w:szCs w:val="16"/>
        </w:rPr>
        <w:t xml:space="preserve"> socage replaced it.</w:t>
      </w:r>
    </w:p>
    <w:p w14:paraId="7850A79B"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493AD5A0"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In legal systems, allodial lands are the absolute property of their owner and not subject to any rent, service, or acknowledgment to a superior. Allodial title is therefore an alternative to feudal land tenure. However, historian J. C. Holt states that "In Normandy the word </w:t>
      </w:r>
      <w:r w:rsidRPr="005E770B">
        <w:rPr>
          <w:rFonts w:ascii="Times New Roman" w:hAnsi="Times New Roman" w:cs="Times New Roman"/>
          <w:b/>
          <w:bCs/>
          <w:i/>
          <w:iCs/>
          <w:sz w:val="16"/>
          <w:szCs w:val="16"/>
        </w:rPr>
        <w:t>alodium</w:t>
      </w:r>
      <w:r w:rsidRPr="005E770B">
        <w:rPr>
          <w:rFonts w:ascii="Times New Roman" w:hAnsi="Times New Roman" w:cs="Times New Roman"/>
          <w:sz w:val="16"/>
          <w:szCs w:val="16"/>
        </w:rPr>
        <w:t>, whatever its sense in other parts of the Continent, meant not land held free of seigneurial services, but land held by hereditary right", and that "</w:t>
      </w:r>
      <w:r w:rsidRPr="005E770B">
        <w:rPr>
          <w:rFonts w:ascii="Times New Roman" w:hAnsi="Times New Roman" w:cs="Times New Roman"/>
          <w:i/>
          <w:iCs/>
          <w:sz w:val="16"/>
          <w:szCs w:val="16"/>
        </w:rPr>
        <w:t>alodium</w:t>
      </w:r>
      <w:r w:rsidRPr="005E770B">
        <w:rPr>
          <w:rFonts w:ascii="Times New Roman" w:hAnsi="Times New Roman" w:cs="Times New Roman"/>
          <w:sz w:val="16"/>
          <w:szCs w:val="16"/>
        </w:rPr>
        <w:t xml:space="preserve"> and </w:t>
      </w:r>
      <w:proofErr w:type="spellStart"/>
      <w:r w:rsidRPr="005E770B">
        <w:rPr>
          <w:rFonts w:ascii="Times New Roman" w:hAnsi="Times New Roman" w:cs="Times New Roman"/>
          <w:i/>
          <w:iCs/>
          <w:sz w:val="16"/>
          <w:szCs w:val="16"/>
        </w:rPr>
        <w:t>feodum</w:t>
      </w:r>
      <w:proofErr w:type="spellEnd"/>
      <w:r w:rsidRPr="005E770B">
        <w:rPr>
          <w:rFonts w:ascii="Times New Roman" w:hAnsi="Times New Roman" w:cs="Times New Roman"/>
          <w:sz w:val="16"/>
          <w:szCs w:val="16"/>
        </w:rPr>
        <w:t xml:space="preserve"> should be given the same meaning in England".</w:t>
      </w:r>
    </w:p>
    <w:p w14:paraId="71223FC0"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p>
    <w:p w14:paraId="49F4A6C7"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i/>
          <w:iCs/>
          <w:sz w:val="16"/>
          <w:szCs w:val="16"/>
        </w:rPr>
        <w:t>Allodium</w:t>
      </w:r>
      <w:r w:rsidRPr="005E770B">
        <w:rPr>
          <w:rFonts w:ascii="Times New Roman" w:hAnsi="Times New Roman" w:cs="Times New Roman"/>
          <w:sz w:val="16"/>
          <w:szCs w:val="16"/>
        </w:rPr>
        <w:t>, meaning "</w:t>
      </w:r>
      <w:r w:rsidRPr="005E770B">
        <w:rPr>
          <w:rFonts w:ascii="Times New Roman" w:hAnsi="Times New Roman" w:cs="Times New Roman"/>
          <w:b/>
          <w:bCs/>
          <w:color w:val="C00000"/>
          <w:sz w:val="16"/>
          <w:szCs w:val="16"/>
        </w:rPr>
        <w:t>land exempt from feudal duties</w:t>
      </w:r>
      <w:r w:rsidRPr="005E770B">
        <w:rPr>
          <w:rFonts w:ascii="Times New Roman" w:hAnsi="Times New Roman" w:cs="Times New Roman"/>
          <w:sz w:val="16"/>
          <w:szCs w:val="16"/>
        </w:rPr>
        <w:t>", is first attested in English-language texts in the 11th-century Domesday Book was written in Latin but was borrowed from Old Low Franconian *</w:t>
      </w:r>
      <w:proofErr w:type="spellStart"/>
      <w:r w:rsidRPr="005E770B">
        <w:rPr>
          <w:rFonts w:ascii="Times New Roman" w:hAnsi="Times New Roman" w:cs="Times New Roman"/>
          <w:i/>
          <w:iCs/>
          <w:sz w:val="16"/>
          <w:szCs w:val="16"/>
        </w:rPr>
        <w:t>allōd</w:t>
      </w:r>
      <w:proofErr w:type="spellEnd"/>
      <w:r w:rsidRPr="005E770B">
        <w:rPr>
          <w:rFonts w:ascii="Times New Roman" w:hAnsi="Times New Roman" w:cs="Times New Roman"/>
          <w:sz w:val="16"/>
          <w:szCs w:val="16"/>
        </w:rPr>
        <w:t>, meaning "</w:t>
      </w:r>
      <w:r w:rsidRPr="005E770B">
        <w:rPr>
          <w:rFonts w:ascii="Times New Roman" w:hAnsi="Times New Roman" w:cs="Times New Roman"/>
          <w:b/>
          <w:bCs/>
          <w:sz w:val="16"/>
          <w:szCs w:val="16"/>
        </w:rPr>
        <w:t>full property</w:t>
      </w:r>
      <w:r w:rsidRPr="005E770B">
        <w:rPr>
          <w:rFonts w:ascii="Times New Roman" w:hAnsi="Times New Roman" w:cs="Times New Roman"/>
          <w:sz w:val="16"/>
          <w:szCs w:val="16"/>
        </w:rPr>
        <w:t xml:space="preserve">", and attested in Latin as e.g., </w:t>
      </w:r>
      <w:r w:rsidRPr="005E770B">
        <w:rPr>
          <w:rFonts w:ascii="Times New Roman" w:hAnsi="Times New Roman" w:cs="Times New Roman"/>
          <w:i/>
          <w:iCs/>
          <w:sz w:val="16"/>
          <w:szCs w:val="16"/>
          <w:lang w:val="la-Latn"/>
        </w:rPr>
        <w:t>alodis</w:t>
      </w:r>
      <w:r w:rsidRPr="005E770B">
        <w:rPr>
          <w:rFonts w:ascii="Times New Roman" w:hAnsi="Times New Roman" w:cs="Times New Roman"/>
          <w:sz w:val="16"/>
          <w:szCs w:val="16"/>
        </w:rPr>
        <w:t xml:space="preserve">, </w:t>
      </w:r>
      <w:r w:rsidRPr="005E770B">
        <w:rPr>
          <w:rFonts w:ascii="Times New Roman" w:hAnsi="Times New Roman" w:cs="Times New Roman"/>
          <w:i/>
          <w:iCs/>
          <w:sz w:val="16"/>
          <w:szCs w:val="16"/>
          <w:lang w:val="la-Latn"/>
        </w:rPr>
        <w:t>alaudes</w:t>
      </w:r>
      <w:r w:rsidRPr="005E770B">
        <w:rPr>
          <w:rFonts w:ascii="Times New Roman" w:hAnsi="Times New Roman" w:cs="Times New Roman"/>
          <w:sz w:val="16"/>
          <w:szCs w:val="16"/>
        </w:rPr>
        <w:t>, in the Salic law at c. A.D. 507–596, and other Germanic laws. The word is a compound of *</w:t>
      </w:r>
      <w:r w:rsidRPr="005E770B">
        <w:rPr>
          <w:rFonts w:ascii="Times New Roman" w:hAnsi="Times New Roman" w:cs="Times New Roman"/>
          <w:i/>
          <w:iCs/>
          <w:sz w:val="16"/>
          <w:szCs w:val="16"/>
        </w:rPr>
        <w:t>all</w:t>
      </w:r>
      <w:r w:rsidRPr="005E770B">
        <w:rPr>
          <w:rFonts w:ascii="Times New Roman" w:hAnsi="Times New Roman" w:cs="Times New Roman"/>
          <w:sz w:val="16"/>
          <w:szCs w:val="16"/>
        </w:rPr>
        <w:t xml:space="preserve"> "whole, full" and *</w:t>
      </w:r>
      <w:proofErr w:type="spellStart"/>
      <w:r w:rsidRPr="005E770B">
        <w:rPr>
          <w:rFonts w:ascii="Times New Roman" w:hAnsi="Times New Roman" w:cs="Times New Roman"/>
          <w:i/>
          <w:iCs/>
          <w:sz w:val="16"/>
          <w:szCs w:val="16"/>
        </w:rPr>
        <w:t>ōd</w:t>
      </w:r>
      <w:proofErr w:type="spellEnd"/>
      <w:r w:rsidRPr="005E770B">
        <w:rPr>
          <w:rFonts w:ascii="Times New Roman" w:hAnsi="Times New Roman" w:cs="Times New Roman"/>
          <w:sz w:val="16"/>
          <w:szCs w:val="16"/>
        </w:rPr>
        <w:t xml:space="preserve"> "estate, property", see cf. Old Saxon </w:t>
      </w:r>
      <w:proofErr w:type="spellStart"/>
      <w:r w:rsidRPr="005E770B">
        <w:rPr>
          <w:rFonts w:ascii="Times New Roman" w:hAnsi="Times New Roman" w:cs="Times New Roman"/>
          <w:i/>
          <w:iCs/>
          <w:sz w:val="16"/>
          <w:szCs w:val="16"/>
        </w:rPr>
        <w:t>ōd</w:t>
      </w:r>
      <w:proofErr w:type="spellEnd"/>
      <w:r w:rsidRPr="005E770B">
        <w:rPr>
          <w:rFonts w:ascii="Times New Roman" w:hAnsi="Times New Roman" w:cs="Times New Roman"/>
          <w:sz w:val="16"/>
          <w:szCs w:val="16"/>
        </w:rPr>
        <w:t xml:space="preserve">, Old English </w:t>
      </w:r>
      <w:proofErr w:type="spellStart"/>
      <w:r w:rsidRPr="005E770B">
        <w:rPr>
          <w:rFonts w:ascii="Times New Roman" w:hAnsi="Times New Roman" w:cs="Times New Roman"/>
          <w:i/>
          <w:iCs/>
          <w:sz w:val="16"/>
          <w:szCs w:val="16"/>
        </w:rPr>
        <w:t>ead</w:t>
      </w:r>
      <w:proofErr w:type="spellEnd"/>
      <w:r w:rsidRPr="005E770B">
        <w:rPr>
          <w:rFonts w:ascii="Times New Roman" w:hAnsi="Times New Roman" w:cs="Times New Roman"/>
          <w:sz w:val="16"/>
          <w:szCs w:val="16"/>
        </w:rPr>
        <w:t xml:space="preserve">, Old Norse </w:t>
      </w:r>
      <w:proofErr w:type="spellStart"/>
      <w:r w:rsidRPr="005E770B">
        <w:rPr>
          <w:rFonts w:ascii="Times New Roman" w:hAnsi="Times New Roman" w:cs="Times New Roman"/>
          <w:i/>
          <w:iCs/>
          <w:sz w:val="16"/>
          <w:szCs w:val="16"/>
        </w:rPr>
        <w:t>auðr</w:t>
      </w:r>
      <w:proofErr w:type="spellEnd"/>
      <w:r w:rsidRPr="005E770B">
        <w:rPr>
          <w:rFonts w:ascii="Times New Roman" w:hAnsi="Times New Roman" w:cs="Times New Roman"/>
          <w:sz w:val="16"/>
          <w:szCs w:val="16"/>
        </w:rPr>
        <w:t xml:space="preserve">. </w:t>
      </w:r>
    </w:p>
    <w:p w14:paraId="49AF0E36" w14:textId="77777777" w:rsidR="00FA66A2" w:rsidRPr="009C11A9" w:rsidRDefault="00FA66A2" w:rsidP="00FA66A2">
      <w:pPr>
        <w:autoSpaceDE w:val="0"/>
        <w:autoSpaceDN w:val="0"/>
        <w:adjustRightInd w:val="0"/>
        <w:spacing w:after="0"/>
        <w:rPr>
          <w:rFonts w:ascii="Times New Roman" w:hAnsi="Times New Roman" w:cs="Times New Roman"/>
          <w:sz w:val="8"/>
          <w:szCs w:val="8"/>
        </w:rPr>
      </w:pPr>
    </w:p>
    <w:p w14:paraId="5BC1195D"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Allodial tenure appears to have been common throughout northern Europe, but is now unknown in common law jurisdictions apart from the United States, Scotland and the Isle of Man. An </w:t>
      </w:r>
      <w:proofErr w:type="spellStart"/>
      <w:r w:rsidRPr="005E770B">
        <w:rPr>
          <w:rFonts w:ascii="Times New Roman" w:hAnsi="Times New Roman" w:cs="Times New Roman"/>
          <w:sz w:val="16"/>
          <w:szCs w:val="16"/>
        </w:rPr>
        <w:t>allod</w:t>
      </w:r>
      <w:proofErr w:type="spellEnd"/>
      <w:r w:rsidRPr="005E770B">
        <w:rPr>
          <w:rFonts w:ascii="Times New Roman" w:hAnsi="Times New Roman" w:cs="Times New Roman"/>
          <w:sz w:val="16"/>
          <w:szCs w:val="16"/>
        </w:rPr>
        <w:t xml:space="preserve"> could be converted into a fief, by the owner surrendering it to a lord and receiving it back as a fief. Allodial land title is common in the Isle of Man which has laws with Nordic origins. A version called udal tenure exists in the Orkney and Shetland Islands, also of Nordic origin. These are the only parts of the United Kingdom where allodial title exists, with the few exceptions. One such exception is the Scottish Barony of the </w:t>
      </w:r>
      <w:proofErr w:type="spellStart"/>
      <w:r w:rsidRPr="005E770B">
        <w:rPr>
          <w:rFonts w:ascii="Times New Roman" w:hAnsi="Times New Roman" w:cs="Times New Roman"/>
          <w:sz w:val="16"/>
          <w:szCs w:val="16"/>
        </w:rPr>
        <w:t>Bachuil</w:t>
      </w:r>
      <w:proofErr w:type="spellEnd"/>
      <w:r w:rsidRPr="005E770B">
        <w:rPr>
          <w:rFonts w:ascii="Times New Roman" w:hAnsi="Times New Roman" w:cs="Times New Roman"/>
          <w:sz w:val="16"/>
          <w:szCs w:val="16"/>
        </w:rPr>
        <w:t xml:space="preserve">, which is not of feudal origin like other baronies but is allodial in that it predates (A.D. 562) Scotland itself and the feudal system, dating from the Gaelic Kingdom of </w:t>
      </w:r>
      <w:proofErr w:type="spellStart"/>
      <w:r w:rsidRPr="005E770B">
        <w:rPr>
          <w:rFonts w:ascii="Times New Roman" w:hAnsi="Times New Roman" w:cs="Times New Roman"/>
          <w:sz w:val="16"/>
          <w:szCs w:val="16"/>
        </w:rPr>
        <w:t>Dál</w:t>
      </w:r>
      <w:proofErr w:type="spellEnd"/>
      <w:r w:rsidRPr="005E770B">
        <w:rPr>
          <w:rFonts w:ascii="Times New Roman" w:hAnsi="Times New Roman" w:cs="Times New Roman"/>
          <w:sz w:val="16"/>
          <w:szCs w:val="16"/>
        </w:rPr>
        <w:t xml:space="preserve"> Riata. In recognition as allodial </w:t>
      </w:r>
      <w:r w:rsidRPr="005E770B">
        <w:rPr>
          <w:rFonts w:ascii="Times New Roman" w:hAnsi="Times New Roman" w:cs="Times New Roman"/>
          <w:i/>
          <w:iCs/>
          <w:sz w:val="16"/>
          <w:szCs w:val="16"/>
        </w:rPr>
        <w:t>Barons par le Grâce de Dieu</w:t>
      </w:r>
      <w:r w:rsidRPr="005E770B">
        <w:rPr>
          <w:rFonts w:ascii="Times New Roman" w:hAnsi="Times New Roman" w:cs="Times New Roman"/>
          <w:sz w:val="16"/>
          <w:szCs w:val="16"/>
        </w:rPr>
        <w:t xml:space="preserve"> not barons by a feudal crown grant, the Baron of the </w:t>
      </w:r>
      <w:proofErr w:type="spellStart"/>
      <w:r w:rsidRPr="005E770B">
        <w:rPr>
          <w:rFonts w:ascii="Times New Roman" w:hAnsi="Times New Roman" w:cs="Times New Roman"/>
          <w:sz w:val="16"/>
          <w:szCs w:val="16"/>
        </w:rPr>
        <w:t>Bachuil</w:t>
      </w:r>
      <w:proofErr w:type="spellEnd"/>
      <w:r w:rsidRPr="005E770B">
        <w:rPr>
          <w:rFonts w:ascii="Times New Roman" w:hAnsi="Times New Roman" w:cs="Times New Roman"/>
          <w:sz w:val="16"/>
          <w:szCs w:val="16"/>
        </w:rPr>
        <w:t xml:space="preserve"> has the only coat of arms in Scotland granted a cap of maintenance with a "</w:t>
      </w:r>
      <w:proofErr w:type="spellStart"/>
      <w:r w:rsidRPr="005E770B">
        <w:rPr>
          <w:rFonts w:ascii="Times New Roman" w:hAnsi="Times New Roman" w:cs="Times New Roman"/>
          <w:sz w:val="16"/>
          <w:szCs w:val="16"/>
        </w:rPr>
        <w:t>vair</w:t>
      </w:r>
      <w:proofErr w:type="spellEnd"/>
      <w:r w:rsidRPr="005E770B">
        <w:rPr>
          <w:rFonts w:ascii="Times New Roman" w:hAnsi="Times New Roman" w:cs="Times New Roman"/>
          <w:sz w:val="16"/>
          <w:szCs w:val="16"/>
        </w:rPr>
        <w:t xml:space="preserve">", i.e., squirrel fur lining as opposed to ermine, by the Lord Lyon Court. Another exception is Somerset House which was vested in His Majesty explicitly not in fee </w:t>
      </w:r>
      <w:proofErr w:type="gramStart"/>
      <w:r w:rsidRPr="005E770B">
        <w:rPr>
          <w:rFonts w:ascii="Times New Roman" w:hAnsi="Times New Roman" w:cs="Times New Roman"/>
          <w:sz w:val="16"/>
          <w:szCs w:val="16"/>
        </w:rPr>
        <w:t>simple, and</w:t>
      </w:r>
      <w:proofErr w:type="gramEnd"/>
      <w:r w:rsidRPr="005E770B">
        <w:rPr>
          <w:rFonts w:ascii="Times New Roman" w:hAnsi="Times New Roman" w:cs="Times New Roman"/>
          <w:sz w:val="16"/>
          <w:szCs w:val="16"/>
        </w:rPr>
        <w:t xml:space="preserve"> is held to be allodial.</w:t>
      </w:r>
    </w:p>
    <w:p w14:paraId="19F6E645" w14:textId="77777777" w:rsidR="00FA66A2" w:rsidRPr="009C11A9" w:rsidRDefault="00FA66A2" w:rsidP="00FA66A2">
      <w:pPr>
        <w:autoSpaceDE w:val="0"/>
        <w:autoSpaceDN w:val="0"/>
        <w:adjustRightInd w:val="0"/>
        <w:spacing w:after="0"/>
        <w:rPr>
          <w:rFonts w:ascii="Times New Roman" w:hAnsi="Times New Roman" w:cs="Times New Roman"/>
          <w:sz w:val="8"/>
          <w:szCs w:val="8"/>
        </w:rPr>
      </w:pPr>
    </w:p>
    <w:p w14:paraId="2FECA49B" w14:textId="77777777" w:rsidR="00FA66A2" w:rsidRPr="005E770B" w:rsidRDefault="00FA66A2" w:rsidP="00FA66A2">
      <w:pPr>
        <w:autoSpaceDE w:val="0"/>
        <w:autoSpaceDN w:val="0"/>
        <w:adjustRightInd w:val="0"/>
        <w:spacing w:after="0"/>
        <w:jc w:val="center"/>
        <w:rPr>
          <w:rFonts w:ascii="Times New Roman" w:hAnsi="Times New Roman" w:cs="Times New Roman"/>
          <w:b/>
          <w:bCs/>
          <w:sz w:val="16"/>
          <w:szCs w:val="16"/>
        </w:rPr>
      </w:pPr>
      <w:r w:rsidRPr="005E770B">
        <w:rPr>
          <w:rFonts w:ascii="Times New Roman" w:hAnsi="Times New Roman" w:cs="Times New Roman"/>
          <w:b/>
          <w:bCs/>
          <w:sz w:val="16"/>
          <w:szCs w:val="16"/>
        </w:rPr>
        <w:t>Evolution of</w:t>
      </w:r>
      <w:r w:rsidRPr="005E770B">
        <w:rPr>
          <w:rFonts w:ascii="Times New Roman" w:hAnsi="Times New Roman" w:cs="Times New Roman"/>
          <w:sz w:val="16"/>
          <w:szCs w:val="16"/>
        </w:rPr>
        <w:t xml:space="preserve"> </w:t>
      </w:r>
      <w:r w:rsidRPr="005E770B">
        <w:rPr>
          <w:rFonts w:ascii="Times New Roman" w:hAnsi="Times New Roman" w:cs="Times New Roman"/>
          <w:b/>
          <w:bCs/>
          <w:sz w:val="16"/>
          <w:szCs w:val="16"/>
        </w:rPr>
        <w:t>Equitable Title</w:t>
      </w:r>
    </w:p>
    <w:p w14:paraId="2473A959" w14:textId="77777777" w:rsidR="00FA66A2" w:rsidRPr="009C11A9" w:rsidRDefault="00FA66A2" w:rsidP="00FA66A2">
      <w:pPr>
        <w:autoSpaceDE w:val="0"/>
        <w:autoSpaceDN w:val="0"/>
        <w:adjustRightInd w:val="0"/>
        <w:spacing w:after="0"/>
        <w:jc w:val="center"/>
        <w:rPr>
          <w:rFonts w:ascii="Times New Roman" w:hAnsi="Times New Roman" w:cs="Times New Roman"/>
          <w:b/>
          <w:bCs/>
          <w:sz w:val="8"/>
          <w:szCs w:val="8"/>
        </w:rPr>
      </w:pPr>
    </w:p>
    <w:p w14:paraId="04348969"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As late as the Tudor period, </w:t>
      </w:r>
      <w:proofErr w:type="gramStart"/>
      <w:r w:rsidRPr="005E770B">
        <w:rPr>
          <w:rFonts w:ascii="Times New Roman" w:hAnsi="Times New Roman" w:cs="Times New Roman"/>
          <w:sz w:val="16"/>
          <w:szCs w:val="16"/>
        </w:rPr>
        <w:t>in order to</w:t>
      </w:r>
      <w:proofErr w:type="gramEnd"/>
      <w:r w:rsidRPr="005E770B">
        <w:rPr>
          <w:rFonts w:ascii="Times New Roman" w:hAnsi="Times New Roman" w:cs="Times New Roman"/>
          <w:sz w:val="16"/>
          <w:szCs w:val="16"/>
        </w:rPr>
        <w:t xml:space="preserve"> avoid estate taxes, a legal loophole was exploited where land was willed to a trustee for the use of the beneficiary. However, trustees often abused this privilege, and heirs found that the courts of common law would refuse to recognize the "use" </w:t>
      </w:r>
      <w:proofErr w:type="gramStart"/>
      <w:r w:rsidRPr="005E770B">
        <w:rPr>
          <w:rFonts w:ascii="Times New Roman" w:hAnsi="Times New Roman" w:cs="Times New Roman"/>
          <w:sz w:val="16"/>
          <w:szCs w:val="16"/>
        </w:rPr>
        <w:t>clause, and</w:t>
      </w:r>
      <w:proofErr w:type="gramEnd"/>
      <w:r w:rsidRPr="005E770B">
        <w:rPr>
          <w:rFonts w:ascii="Times New Roman" w:hAnsi="Times New Roman" w:cs="Times New Roman"/>
          <w:sz w:val="16"/>
          <w:szCs w:val="16"/>
        </w:rPr>
        <w:t xml:space="preserve"> would instead grant title in law to the trustee. However, the courts of equity, which were developed by the sovereign to deal with obvious injustices in the common law courts, ruled that the heirs were entitled to the use of the property, and gave them title in equity. As rulings of equity courts ranked above those of common law courts, this gave heirs the use of the land, but not title to it in the common law. However, this distinction between common law and equity title helped develop forms of security based on the distinction, now known as the mortgage. Enjoyment of the property during the period where the mortgage was in good standing could be assured through the equity courts, while the right to foreclose on the property to merge the common law and equity title were guaranteed in the common law courts.</w:t>
      </w:r>
    </w:p>
    <w:p w14:paraId="6E883EF5" w14:textId="77777777" w:rsidR="00FA66A2" w:rsidRPr="009C11A9" w:rsidRDefault="00FA66A2" w:rsidP="00FA66A2">
      <w:pPr>
        <w:autoSpaceDE w:val="0"/>
        <w:autoSpaceDN w:val="0"/>
        <w:adjustRightInd w:val="0"/>
        <w:spacing w:after="0"/>
        <w:rPr>
          <w:rFonts w:ascii="Times New Roman" w:hAnsi="Times New Roman" w:cs="Times New Roman"/>
          <w:sz w:val="8"/>
          <w:szCs w:val="8"/>
        </w:rPr>
      </w:pPr>
    </w:p>
    <w:p w14:paraId="7BE43795" w14:textId="77777777" w:rsidR="00FA66A2" w:rsidRPr="005E770B" w:rsidRDefault="00FA66A2" w:rsidP="00FA66A2">
      <w:pPr>
        <w:autoSpaceDE w:val="0"/>
        <w:autoSpaceDN w:val="0"/>
        <w:adjustRightInd w:val="0"/>
        <w:spacing w:after="0"/>
        <w:jc w:val="center"/>
        <w:rPr>
          <w:rFonts w:ascii="Times New Roman" w:hAnsi="Times New Roman" w:cs="Times New Roman"/>
          <w:b/>
          <w:bCs/>
          <w:sz w:val="16"/>
          <w:szCs w:val="16"/>
        </w:rPr>
      </w:pPr>
      <w:r w:rsidRPr="005E770B">
        <w:rPr>
          <w:rFonts w:ascii="Times New Roman" w:hAnsi="Times New Roman" w:cs="Times New Roman"/>
          <w:b/>
          <w:bCs/>
          <w:sz w:val="16"/>
          <w:szCs w:val="16"/>
        </w:rPr>
        <w:t>Proof of ownership</w:t>
      </w:r>
    </w:p>
    <w:p w14:paraId="7D35559F" w14:textId="77777777" w:rsidR="00FA66A2" w:rsidRPr="009C11A9" w:rsidRDefault="00FA66A2" w:rsidP="00FA66A2">
      <w:pPr>
        <w:autoSpaceDE w:val="0"/>
        <w:autoSpaceDN w:val="0"/>
        <w:adjustRightInd w:val="0"/>
        <w:spacing w:after="0"/>
        <w:jc w:val="center"/>
        <w:rPr>
          <w:rFonts w:ascii="Times New Roman" w:hAnsi="Times New Roman" w:cs="Times New Roman"/>
          <w:b/>
          <w:bCs/>
          <w:sz w:val="8"/>
          <w:szCs w:val="8"/>
        </w:rPr>
      </w:pPr>
    </w:p>
    <w:p w14:paraId="0222B6C4"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Until the 18th century, almost all common law property ownership depended on proving a link of possession from a royal grant of title to the property owner. Although the feudal system had ceased from England in 1660, and is now fee simple taxation, in theory the feudal chain of title still exists, although it is a formality. However, proving ownership in the absence of the documents was an impossibility, and forgeries of crown grants were common and difficult to detect. Moreover, it was nearly impossible to determine if land was subject to common law encumbrances, i.e. mortgages. This led to the establishment in the 18th century of land registry systems, where a central office in each county was responsible for the filing of land deeds, mortgages, liens and other evidence of ownership, transfer or encumbrance. Under land registry, deeds and charges were not recognized unless they were filed, and </w:t>
      </w:r>
      <w:proofErr w:type="gramStart"/>
      <w:r w:rsidRPr="005E770B">
        <w:rPr>
          <w:rFonts w:ascii="Times New Roman" w:hAnsi="Times New Roman" w:cs="Times New Roman"/>
          <w:sz w:val="16"/>
          <w:szCs w:val="16"/>
        </w:rPr>
        <w:t>persons</w:t>
      </w:r>
      <w:proofErr w:type="gramEnd"/>
      <w:r w:rsidRPr="005E770B">
        <w:rPr>
          <w:rFonts w:ascii="Times New Roman" w:hAnsi="Times New Roman" w:cs="Times New Roman"/>
          <w:sz w:val="16"/>
          <w:szCs w:val="16"/>
        </w:rPr>
        <w:t xml:space="preserve"> who filed were given priority over previous transactions that had not been filed. Moreover, under statutes of limitation, in certain jurisdictions only documents that had been filed in the past 40 years had to be consulted to determine the chain of ownership.</w:t>
      </w:r>
    </w:p>
    <w:p w14:paraId="08CA3661"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5094CB0E" w14:textId="77777777" w:rsidR="00FA66A2" w:rsidRPr="005E770B" w:rsidRDefault="00FA66A2" w:rsidP="00FA66A2">
      <w:pPr>
        <w:pStyle w:val="ListParagraph"/>
        <w:autoSpaceDE w:val="0"/>
        <w:autoSpaceDN w:val="0"/>
        <w:adjustRightInd w:val="0"/>
        <w:spacing w:after="0"/>
        <w:ind w:left="-365"/>
        <w:jc w:val="center"/>
        <w:rPr>
          <w:rFonts w:ascii="Times New Roman" w:hAnsi="Times New Roman" w:cs="Times New Roman"/>
          <w:b/>
          <w:bCs/>
          <w:sz w:val="16"/>
          <w:szCs w:val="16"/>
        </w:rPr>
      </w:pPr>
      <w:proofErr w:type="spellStart"/>
      <w:r w:rsidRPr="005E770B">
        <w:rPr>
          <w:rFonts w:ascii="Times New Roman" w:hAnsi="Times New Roman" w:cs="Times New Roman"/>
          <w:b/>
          <w:bCs/>
          <w:sz w:val="16"/>
          <w:szCs w:val="16"/>
        </w:rPr>
        <w:t>Allodialization</w:t>
      </w:r>
      <w:proofErr w:type="spellEnd"/>
      <w:r w:rsidRPr="005E770B">
        <w:rPr>
          <w:rFonts w:ascii="Times New Roman" w:hAnsi="Times New Roman" w:cs="Times New Roman"/>
          <w:b/>
          <w:bCs/>
          <w:sz w:val="16"/>
          <w:szCs w:val="16"/>
        </w:rPr>
        <w:t xml:space="preserve"> in the</w:t>
      </w:r>
      <w:r w:rsidRPr="005E770B">
        <w:rPr>
          <w:rFonts w:ascii="Times New Roman" w:hAnsi="Times New Roman" w:cs="Times New Roman"/>
          <w:sz w:val="16"/>
          <w:szCs w:val="16"/>
        </w:rPr>
        <w:t xml:space="preserve"> </w:t>
      </w:r>
      <w:r w:rsidRPr="005E770B">
        <w:rPr>
          <w:rFonts w:ascii="Times New Roman" w:hAnsi="Times New Roman" w:cs="Times New Roman"/>
          <w:b/>
          <w:bCs/>
          <w:sz w:val="16"/>
          <w:szCs w:val="16"/>
        </w:rPr>
        <w:t>United States</w:t>
      </w:r>
    </w:p>
    <w:p w14:paraId="773EC22C" w14:textId="77777777" w:rsidR="00FA66A2" w:rsidRPr="009C11A9" w:rsidRDefault="00FA66A2" w:rsidP="00FA66A2">
      <w:pPr>
        <w:pStyle w:val="ListParagraph"/>
        <w:autoSpaceDE w:val="0"/>
        <w:autoSpaceDN w:val="0"/>
        <w:adjustRightInd w:val="0"/>
        <w:spacing w:after="0" w:line="240" w:lineRule="auto"/>
        <w:ind w:left="-365"/>
        <w:rPr>
          <w:rFonts w:ascii="Times New Roman" w:hAnsi="Times New Roman" w:cs="Times New Roman"/>
          <w:sz w:val="8"/>
          <w:szCs w:val="8"/>
        </w:rPr>
      </w:pPr>
    </w:p>
    <w:p w14:paraId="3DAC0AB2"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Before 1774, all land in the American colonies could also be traced to royal grants, either a single enormous grant creating each proprietary colony, e.g., Pennsylvania and Maryland), or smaller direct grants within crown colonies, e.g. Virginia. The original </w:t>
      </w:r>
      <w:r w:rsidRPr="005E770B">
        <w:rPr>
          <w:rFonts w:ascii="Times New Roman" w:hAnsi="Times New Roman" w:cs="Times New Roman"/>
          <w:i/>
          <w:iCs/>
          <w:sz w:val="16"/>
          <w:szCs w:val="16"/>
        </w:rPr>
        <w:t>grantee</w:t>
      </w:r>
      <w:r w:rsidRPr="005E770B">
        <w:rPr>
          <w:rFonts w:ascii="Times New Roman" w:hAnsi="Times New Roman" w:cs="Times New Roman"/>
          <w:sz w:val="16"/>
          <w:szCs w:val="16"/>
        </w:rPr>
        <w:t>, i.e., the recipient of the land, then sold or granted parcels of land within his grant to private citizens and other legal entities. The Treaty of Paris (1783), which ended formal hostilities and recognized American independence, also had the effect of ending any residual rights held by the original grantees or the Crown. This recognized that no person holding land in the new United States owed any allegiance or duty to the Crown. Apart from land that was formally owned at the time of the Revolutionary War, most American landholders can trace their title back to grants by the federal or state governments of land obtained by purchase, i.e.</w:t>
      </w:r>
      <w:proofErr w:type="gramStart"/>
      <w:r w:rsidRPr="005E770B">
        <w:rPr>
          <w:rFonts w:ascii="Times New Roman" w:hAnsi="Times New Roman" w:cs="Times New Roman"/>
          <w:sz w:val="16"/>
          <w:szCs w:val="16"/>
        </w:rPr>
        <w:t>,  Louisiana</w:t>
      </w:r>
      <w:proofErr w:type="gramEnd"/>
      <w:r w:rsidRPr="005E770B">
        <w:rPr>
          <w:rFonts w:ascii="Times New Roman" w:hAnsi="Times New Roman" w:cs="Times New Roman"/>
          <w:sz w:val="16"/>
          <w:szCs w:val="16"/>
        </w:rPr>
        <w:t xml:space="preserve"> Purchase, Florida, Alaska, treaty, i.e., the Ohio Valley, New Mexico, Arizona, and California, or annexation, such as, Texas, Hawaii. However, </w:t>
      </w:r>
      <w:proofErr w:type="gramStart"/>
      <w:r w:rsidRPr="005E770B">
        <w:rPr>
          <w:rFonts w:ascii="Times New Roman" w:hAnsi="Times New Roman" w:cs="Times New Roman"/>
          <w:sz w:val="16"/>
          <w:szCs w:val="16"/>
        </w:rPr>
        <w:t>in reality, grants</w:t>
      </w:r>
      <w:proofErr w:type="gramEnd"/>
      <w:r w:rsidRPr="005E770B">
        <w:rPr>
          <w:rFonts w:ascii="Times New Roman" w:hAnsi="Times New Roman" w:cs="Times New Roman"/>
          <w:sz w:val="16"/>
          <w:szCs w:val="16"/>
        </w:rPr>
        <w:t xml:space="preserve"> made prior to those territories becoming U.S. possessions were recognized; ownership under French and Spanish crown grants in the Louisiana Purchase and Guadalupe-Hidalgo/Gadsden territories remained valid. Although in Dartmouth College v. Woodward the United States Supreme Court rebuffed New Hampshire's attempt to convert Dartmouth College from a private college into a public university, the Court decided this was based on the Constitution prohibiting states from impairing the obligations of the contract which created the private corporation that owned the </w:t>
      </w:r>
      <w:proofErr w:type="gramStart"/>
      <w:r w:rsidRPr="005E770B">
        <w:rPr>
          <w:rFonts w:ascii="Times New Roman" w:hAnsi="Times New Roman" w:cs="Times New Roman"/>
          <w:sz w:val="16"/>
          <w:szCs w:val="16"/>
        </w:rPr>
        <w:t>land, and</w:t>
      </w:r>
      <w:proofErr w:type="gramEnd"/>
      <w:r w:rsidRPr="005E770B">
        <w:rPr>
          <w:rFonts w:ascii="Times New Roman" w:hAnsi="Times New Roman" w:cs="Times New Roman"/>
          <w:sz w:val="16"/>
          <w:szCs w:val="16"/>
        </w:rPr>
        <w:t xml:space="preserve"> not based on any principle that the land was somehow immune from state control.</w:t>
      </w:r>
    </w:p>
    <w:p w14:paraId="0C231A1F"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39ADC75E"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Many U.S. state constitutions of Arkansas, Wisconsin, Minnesota, New York, refer to allodial title, but only to clearly distinguish it from feudal title. The conditions under which the government can compel the sale of privately owned real property for public necessity are established by eminent domain or condemnation laws of either the federal or state governments, respectively. The Fifth Amendment to the United States Constitution requires just compensation for eminent domain compelled sale. In addition, the government powers of police power and escheat have been retained in the American legal system.</w:t>
      </w:r>
    </w:p>
    <w:p w14:paraId="5AC62C26"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7F98A72F" w14:textId="77777777" w:rsidR="00FA66A2" w:rsidRPr="005E770B" w:rsidRDefault="00FA66A2" w:rsidP="00FA66A2">
      <w:pPr>
        <w:pStyle w:val="ListParagraph"/>
        <w:autoSpaceDE w:val="0"/>
        <w:autoSpaceDN w:val="0"/>
        <w:adjustRightInd w:val="0"/>
        <w:spacing w:after="0"/>
        <w:ind w:left="-365"/>
        <w:jc w:val="center"/>
        <w:rPr>
          <w:rFonts w:ascii="Times New Roman" w:hAnsi="Times New Roman" w:cs="Times New Roman"/>
          <w:b/>
          <w:bCs/>
          <w:sz w:val="16"/>
          <w:szCs w:val="16"/>
        </w:rPr>
      </w:pPr>
      <w:r w:rsidRPr="005E770B">
        <w:rPr>
          <w:rFonts w:ascii="Times New Roman" w:hAnsi="Times New Roman" w:cs="Times New Roman"/>
          <w:b/>
          <w:bCs/>
          <w:sz w:val="16"/>
          <w:szCs w:val="16"/>
        </w:rPr>
        <w:t>Limited allodial title</w:t>
      </w:r>
    </w:p>
    <w:p w14:paraId="1E52C02B" w14:textId="77777777" w:rsidR="00FA66A2" w:rsidRPr="009C11A9" w:rsidRDefault="00FA66A2" w:rsidP="00FA66A2">
      <w:pPr>
        <w:pStyle w:val="ListParagraph"/>
        <w:autoSpaceDE w:val="0"/>
        <w:autoSpaceDN w:val="0"/>
        <w:adjustRightInd w:val="0"/>
        <w:spacing w:after="0"/>
        <w:ind w:left="-365"/>
        <w:jc w:val="center"/>
        <w:rPr>
          <w:rFonts w:ascii="Times New Roman" w:hAnsi="Times New Roman" w:cs="Times New Roman"/>
          <w:b/>
          <w:bCs/>
          <w:sz w:val="8"/>
          <w:szCs w:val="8"/>
        </w:rPr>
      </w:pPr>
    </w:p>
    <w:p w14:paraId="67A30277"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Other institutional property ownership can also be called allodial, in that property granted for certain uses is held absolutely and cannot be alienated in most circumstances. For example, universities and colleges that hold property for educational purposes can be described as having allodial title. In most states, property held by churches or other </w:t>
      </w:r>
      <w:r w:rsidRPr="005E770B">
        <w:rPr>
          <w:rFonts w:ascii="Times New Roman" w:hAnsi="Times New Roman" w:cs="Times New Roman"/>
          <w:b/>
          <w:bCs/>
          <w:sz w:val="16"/>
          <w:szCs w:val="16"/>
        </w:rPr>
        <w:t>Faith-based organizations</w:t>
      </w:r>
      <w:r w:rsidRPr="005E770B">
        <w:rPr>
          <w:rFonts w:ascii="Times New Roman" w:hAnsi="Times New Roman" w:cs="Times New Roman"/>
          <w:sz w:val="16"/>
          <w:szCs w:val="16"/>
        </w:rPr>
        <w:t xml:space="preserve"> / FBOs for the purpose of worship also has status </w:t>
      </w:r>
      <w:proofErr w:type="gramStart"/>
      <w:r w:rsidRPr="005E770B">
        <w:rPr>
          <w:rFonts w:ascii="Times New Roman" w:hAnsi="Times New Roman" w:cs="Times New Roman"/>
          <w:sz w:val="16"/>
          <w:szCs w:val="16"/>
        </w:rPr>
        <w:t>similar to</w:t>
      </w:r>
      <w:proofErr w:type="gramEnd"/>
      <w:r w:rsidRPr="005E770B">
        <w:rPr>
          <w:rFonts w:ascii="Times New Roman" w:hAnsi="Times New Roman" w:cs="Times New Roman"/>
          <w:sz w:val="16"/>
          <w:szCs w:val="16"/>
        </w:rPr>
        <w:t xml:space="preserve"> allodial title. Native American reservations also share some similarity with allodial title. However, in all these cases, it is also clear that if the title ceases to be used for the purposes for which it was granted, it reverts to the state or the federal government.</w:t>
      </w:r>
    </w:p>
    <w:p w14:paraId="73A28F0E"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3E5707A5"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b/>
          <w:bCs/>
          <w:sz w:val="16"/>
          <w:szCs w:val="16"/>
        </w:rPr>
        <w:t xml:space="preserve">Nevada: </w:t>
      </w:r>
      <w:r w:rsidRPr="005E770B">
        <w:rPr>
          <w:rFonts w:ascii="Times New Roman" w:hAnsi="Times New Roman" w:cs="Times New Roman"/>
          <w:sz w:val="16"/>
          <w:szCs w:val="16"/>
        </w:rPr>
        <w:t xml:space="preserve">In 1997, the Nevada Legislature created a new section of statutes within the property tax statutory scheme. Nevada Revised Statutes (NRS) 361.900 to 361.920. </w:t>
      </w:r>
      <w:r w:rsidRPr="005E770B">
        <w:rPr>
          <w:rFonts w:ascii="Times New Roman" w:hAnsi="Times New Roman" w:cs="Times New Roman"/>
          <w:b/>
          <w:bCs/>
          <w:i/>
          <w:iCs/>
          <w:sz w:val="16"/>
          <w:szCs w:val="16"/>
        </w:rPr>
        <w:t>These statutes, which are entitled "Allodial Title", became effective on 1 July 1998, and were intended to protect property owners from the burden of the high increases in property taxes that often occur when unincorporated land becomes part of a town or city</w:t>
      </w:r>
      <w:r w:rsidRPr="005E770B">
        <w:rPr>
          <w:rFonts w:ascii="Times New Roman" w:hAnsi="Times New Roman" w:cs="Times New Roman"/>
          <w:sz w:val="16"/>
          <w:szCs w:val="16"/>
        </w:rPr>
        <w:t xml:space="preserve">. Nevada allowed </w:t>
      </w:r>
      <w:proofErr w:type="gramStart"/>
      <w:r w:rsidRPr="005E770B">
        <w:rPr>
          <w:rFonts w:ascii="Times New Roman" w:hAnsi="Times New Roman" w:cs="Times New Roman"/>
          <w:sz w:val="16"/>
          <w:szCs w:val="16"/>
        </w:rPr>
        <w:t>persons</w:t>
      </w:r>
      <w:proofErr w:type="gramEnd"/>
      <w:r w:rsidRPr="005E770B">
        <w:rPr>
          <w:rFonts w:ascii="Times New Roman" w:hAnsi="Times New Roman" w:cs="Times New Roman"/>
          <w:sz w:val="16"/>
          <w:szCs w:val="16"/>
        </w:rPr>
        <w:t xml:space="preserve"> who owned and </w:t>
      </w:r>
      <w:proofErr w:type="gramStart"/>
      <w:r w:rsidRPr="005E770B">
        <w:rPr>
          <w:rFonts w:ascii="Times New Roman" w:hAnsi="Times New Roman" w:cs="Times New Roman"/>
          <w:sz w:val="16"/>
          <w:szCs w:val="16"/>
        </w:rPr>
        <w:t>lived in single family</w:t>
      </w:r>
      <w:proofErr w:type="gramEnd"/>
      <w:r w:rsidRPr="005E770B">
        <w:rPr>
          <w:rFonts w:ascii="Times New Roman" w:hAnsi="Times New Roman" w:cs="Times New Roman"/>
          <w:sz w:val="16"/>
          <w:szCs w:val="16"/>
        </w:rPr>
        <w:t xml:space="preserve"> residences to obtain allodial title if the property was not mortgaged and had no tax liens. Allodial titles were subject to exemptions from seizure in debt or bankruptcy under homestead laws; however, a property could be seized if used in a criminal enterprise. In 2005, the Nevada Legislature prohibited applications by property owner for an allodial title after June 13 of that year. </w:t>
      </w:r>
    </w:p>
    <w:p w14:paraId="2BCD0CA6"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746B0F9F"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b/>
          <w:bCs/>
          <w:sz w:val="16"/>
          <w:szCs w:val="16"/>
        </w:rPr>
      </w:pPr>
      <w:r w:rsidRPr="005E770B">
        <w:rPr>
          <w:rFonts w:ascii="Times New Roman" w:hAnsi="Times New Roman" w:cs="Times New Roman"/>
          <w:sz w:val="16"/>
          <w:szCs w:val="16"/>
        </w:rPr>
        <w:t xml:space="preserve">The classes of persons who can apply for allodial title and of property for which those persons may obtain allodial title are limited: A person who owns and occupies a single-family dwelling, its appurtenances and the land on which it is located, free and clear of all encumbrances, except any unpaid assessment for a public improvement, may apply to the county assessor to establish allodial title to the dwellings, appurtenances and the land on which it is located. One or more </w:t>
      </w:r>
      <w:proofErr w:type="gramStart"/>
      <w:r w:rsidRPr="005E770B">
        <w:rPr>
          <w:rFonts w:ascii="Times New Roman" w:hAnsi="Times New Roman" w:cs="Times New Roman"/>
          <w:sz w:val="16"/>
          <w:szCs w:val="16"/>
        </w:rPr>
        <w:t>persons</w:t>
      </w:r>
      <w:proofErr w:type="gramEnd"/>
      <w:r w:rsidRPr="005E770B">
        <w:rPr>
          <w:rFonts w:ascii="Times New Roman" w:hAnsi="Times New Roman" w:cs="Times New Roman"/>
          <w:sz w:val="16"/>
          <w:szCs w:val="16"/>
        </w:rPr>
        <w:t xml:space="preserve"> who own such a home in any form of joint ownership may apply for the allodial title, jointly if the dwelling is occupied by each person included in the application. </w:t>
      </w:r>
      <w:r w:rsidRPr="005E770B">
        <w:rPr>
          <w:rFonts w:ascii="Times New Roman" w:hAnsi="Times New Roman" w:cs="Times New Roman"/>
          <w:b/>
          <w:bCs/>
          <w:sz w:val="16"/>
          <w:szCs w:val="16"/>
        </w:rPr>
        <w:t xml:space="preserve">After the county assessor receives the application, he transfers it to the state treasurer. </w:t>
      </w:r>
    </w:p>
    <w:p w14:paraId="4A43465D"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11EF4484"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The state treasurer then determines the amount which is required to be paid by the property owner to establish allodial title. This is done by using "a tax rate of $5 for each $100 of assessed valuation on the date of the application". The treasurer must calculate, separately, the amount that must be paid in a lump sum, and for the payment in instalments over a period of not more than 10 years. These "amounts must be calculated to the best ability of the state treasurer so that the money paid plus the interest or other income earned on that money will be adequate to pay all future tax liability of the property for a period equal to the life expectancy of the youngest titleholder of the property".</w:t>
      </w:r>
    </w:p>
    <w:p w14:paraId="2324308E"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p>
    <w:p w14:paraId="3E677EB1"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vertAlign w:val="superscript"/>
        </w:rPr>
      </w:pPr>
      <w:r w:rsidRPr="005E770B">
        <w:rPr>
          <w:rFonts w:ascii="Times New Roman" w:hAnsi="Times New Roman" w:cs="Times New Roman"/>
          <w:sz w:val="16"/>
          <w:szCs w:val="16"/>
        </w:rPr>
        <w:lastRenderedPageBreak/>
        <w:t>If the property owner pays the lump sum amount calculated by the state treasurer and submits proof that the home is a single-family dwelling occupied by the homeowner, and that the property is free and clear of all encumbrances except any unpaid assessment for a public improvement, "the state treasurer shall issue a certificate of allodial title".  If the property owner enters into an agreement with the state to make instalment payments in lieu of a lump sum payment, the issue of a certificate of allodial title occurs upon the receipt by the treasurer of the last payment.</w:t>
      </w:r>
    </w:p>
    <w:p w14:paraId="2374349A"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r w:rsidRPr="005E770B">
        <w:rPr>
          <w:rFonts w:ascii="Times New Roman" w:hAnsi="Times New Roman" w:cs="Times New Roman"/>
          <w:sz w:val="16"/>
          <w:szCs w:val="16"/>
        </w:rPr>
        <w:t xml:space="preserve"> </w:t>
      </w:r>
    </w:p>
    <w:p w14:paraId="3C12CBCA"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Once a property owner receives a certificate of allodial title, he is relieved from the payment of all further property taxes, "unless the allodial title is relinquished by the homeowner or his heirs". Instead, the state treasurer is responsible for the payment of the taxes due. </w:t>
      </w:r>
    </w:p>
    <w:p w14:paraId="3820E80A"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6172916F"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vertAlign w:val="superscript"/>
        </w:rPr>
      </w:pPr>
      <w:r w:rsidRPr="005E770B">
        <w:rPr>
          <w:rFonts w:ascii="Times New Roman" w:hAnsi="Times New Roman" w:cs="Times New Roman"/>
          <w:sz w:val="16"/>
          <w:szCs w:val="16"/>
        </w:rPr>
        <w:t>Once allodial title is established, it "is valid for as long as the homeowner continues to own the residence unless he chooses to relinquish the allodial title". Upon the death of an allodial title holder, the heir or heirs can reestablish allodial title by using the same procedure that the original property owner used.</w:t>
      </w:r>
    </w:p>
    <w:p w14:paraId="03424C4F"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r w:rsidRPr="005E770B">
        <w:rPr>
          <w:rFonts w:ascii="Times New Roman" w:hAnsi="Times New Roman" w:cs="Times New Roman"/>
          <w:sz w:val="16"/>
          <w:szCs w:val="16"/>
        </w:rPr>
        <w:t xml:space="preserve"> </w:t>
      </w:r>
    </w:p>
    <w:p w14:paraId="21762547"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The holder of an allodial title can voluntarily relinquish it at any time. The title shall be relinquished if the property is sold, leased or transferred by the allodial title holder; the allodial title holder no longer occupies the dwelling for 150 days; or the home is converted to anything other than a single-family dwelling occupied by the owner. If allodial title is relinquished, either voluntarily or otherwise, the property owner receives a refund of the unused portion of the payments made to originally establish the allodial title. Once the allodial title is relinquished, the property owner is once again responsible for all future property taxes. </w:t>
      </w:r>
    </w:p>
    <w:p w14:paraId="4C80DF93"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070DDF86"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The importance and benefit of establishing allodial title extends beyond the non-payment of property taxes. It also has significance </w:t>
      </w:r>
      <w:proofErr w:type="gramStart"/>
      <w:r w:rsidRPr="005E770B">
        <w:rPr>
          <w:rFonts w:ascii="Times New Roman" w:hAnsi="Times New Roman" w:cs="Times New Roman"/>
          <w:sz w:val="16"/>
          <w:szCs w:val="16"/>
        </w:rPr>
        <w:t>in the area of</w:t>
      </w:r>
      <w:proofErr w:type="gramEnd"/>
      <w:r w:rsidRPr="005E770B">
        <w:rPr>
          <w:rFonts w:ascii="Times New Roman" w:hAnsi="Times New Roman" w:cs="Times New Roman"/>
          <w:sz w:val="16"/>
          <w:szCs w:val="16"/>
        </w:rPr>
        <w:t xml:space="preserve"> homestead law. Pursuant to NRS 115.010, the available homestead exemption in Nevada is $605,000. However, if allodial title has been established and not relinquished, the homestead exemption "extends to all equity in the dwelling, its appurtenances and the land on which it is located". Furthermore, although the regular homestead exemption provides no protection against legal process to enforce the payment of obligations contracted for the purchase of the property, or for improvements made thereon, including any mechanic's lien lawfully obtained, or for legal taxes, or for any mortgage or deed of trust executed upon the property, the holder of an allodial title is fully exempt from all of these under the homestead laws. The only area within the homestead laws wherein allodial title fails to provide an extra benefit is in the realm of civil and criminal forfeiture of property. </w:t>
      </w:r>
      <w:proofErr w:type="gramStart"/>
      <w:r w:rsidRPr="005E770B">
        <w:rPr>
          <w:rFonts w:ascii="Times New Roman" w:hAnsi="Times New Roman" w:cs="Times New Roman"/>
          <w:sz w:val="16"/>
          <w:szCs w:val="16"/>
        </w:rPr>
        <w:t>Similar to</w:t>
      </w:r>
      <w:proofErr w:type="gramEnd"/>
      <w:r w:rsidRPr="005E770B">
        <w:rPr>
          <w:rFonts w:ascii="Times New Roman" w:hAnsi="Times New Roman" w:cs="Times New Roman"/>
          <w:sz w:val="16"/>
          <w:szCs w:val="16"/>
        </w:rPr>
        <w:t xml:space="preserve"> all property in Nevada, property held by allodial title is subject to forfeiture for criminal conduct.</w:t>
      </w:r>
    </w:p>
    <w:p w14:paraId="3A44D858" w14:textId="77777777" w:rsidR="00FA66A2" w:rsidRPr="005C1E77"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7E2C7870" w14:textId="77777777" w:rsidR="00FA66A2" w:rsidRDefault="00FA66A2" w:rsidP="00FA66A2">
      <w:pPr>
        <w:pStyle w:val="ListParagraph"/>
        <w:shd w:val="clear" w:color="auto" w:fill="000000" w:themeFill="text1"/>
        <w:autoSpaceDE w:val="0"/>
        <w:autoSpaceDN w:val="0"/>
        <w:adjustRightInd w:val="0"/>
        <w:spacing w:after="0"/>
        <w:ind w:left="-365"/>
        <w:jc w:val="center"/>
        <w:rPr>
          <w:rFonts w:ascii="Times New Roman" w:hAnsi="Times New Roman" w:cs="Times New Roman"/>
          <w:b/>
          <w:bCs/>
          <w:sz w:val="16"/>
          <w:szCs w:val="16"/>
        </w:rPr>
      </w:pPr>
      <w:r w:rsidRPr="005C1E77">
        <w:rPr>
          <w:rFonts w:ascii="Times New Roman" w:hAnsi="Times New Roman" w:cs="Times New Roman"/>
          <w:b/>
          <w:bCs/>
          <w:sz w:val="16"/>
          <w:szCs w:val="16"/>
        </w:rPr>
        <w:t>Adverse Abandonment</w:t>
      </w:r>
    </w:p>
    <w:p w14:paraId="0B15640A" w14:textId="77777777" w:rsidR="00FA66A2" w:rsidRPr="005C1E77" w:rsidRDefault="00FA66A2" w:rsidP="00FA66A2">
      <w:pPr>
        <w:pStyle w:val="ListParagraph"/>
        <w:autoSpaceDE w:val="0"/>
        <w:autoSpaceDN w:val="0"/>
        <w:adjustRightInd w:val="0"/>
        <w:spacing w:after="0"/>
        <w:ind w:left="-365"/>
        <w:rPr>
          <w:rFonts w:ascii="Times New Roman" w:hAnsi="Times New Roman" w:cs="Times New Roman"/>
          <w:b/>
          <w:bCs/>
          <w:sz w:val="8"/>
          <w:szCs w:val="8"/>
        </w:rPr>
      </w:pPr>
    </w:p>
    <w:p w14:paraId="4EAB9725"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C1E77">
        <w:rPr>
          <w:rFonts w:ascii="Times New Roman" w:hAnsi="Times New Roman" w:cs="Times New Roman"/>
          <w:sz w:val="16"/>
          <w:szCs w:val="16"/>
        </w:rPr>
        <w:t xml:space="preserve">Adverse abandonment is a legal process where a third party who is often a trustee in bankruptcy attempts to terminate </w:t>
      </w:r>
      <w:r w:rsidRPr="005C1E77">
        <w:rPr>
          <w:rFonts w:ascii="Times New Roman" w:hAnsi="Times New Roman" w:cs="Times New Roman"/>
          <w:b/>
          <w:bCs/>
          <w:sz w:val="16"/>
          <w:szCs w:val="16"/>
        </w:rPr>
        <w:t>trackage rights or easements</w:t>
      </w:r>
      <w:r w:rsidRPr="005C1E77">
        <w:rPr>
          <w:rFonts w:ascii="Times New Roman" w:hAnsi="Times New Roman" w:cs="Times New Roman"/>
          <w:sz w:val="16"/>
          <w:szCs w:val="16"/>
        </w:rPr>
        <w:t xml:space="preserve"> held by a non-debtor over rail lines owned by a debtor. Unlike standard abandonment, where a rail carrier seeks permission to discontinue its own operations, adverse abandonment involves </w:t>
      </w:r>
      <w:r w:rsidRPr="005C1E77">
        <w:rPr>
          <w:rFonts w:ascii="Times New Roman" w:hAnsi="Times New Roman" w:cs="Times New Roman"/>
          <w:b/>
          <w:bCs/>
          <w:sz w:val="16"/>
          <w:szCs w:val="16"/>
        </w:rPr>
        <w:t>affecting the rights of a third party</w:t>
      </w:r>
      <w:r w:rsidRPr="005C1E77">
        <w:rPr>
          <w:rFonts w:ascii="Times New Roman" w:hAnsi="Times New Roman" w:cs="Times New Roman"/>
          <w:sz w:val="16"/>
          <w:szCs w:val="16"/>
        </w:rPr>
        <w:t xml:space="preserve"> rather than the carrier’s own property or service rights. In short, adverse abandonment seeks to abandon or discontinue rail lines or </w:t>
      </w:r>
      <w:r w:rsidRPr="005C1E77">
        <w:rPr>
          <w:rFonts w:ascii="Times New Roman" w:hAnsi="Times New Roman" w:cs="Times New Roman"/>
          <w:b/>
          <w:bCs/>
          <w:i/>
          <w:iCs/>
          <w:sz w:val="16"/>
          <w:szCs w:val="16"/>
        </w:rPr>
        <w:t>services</w:t>
      </w:r>
      <w:r w:rsidRPr="005C1E77">
        <w:rPr>
          <w:rFonts w:ascii="Times New Roman" w:hAnsi="Times New Roman" w:cs="Times New Roman"/>
          <w:sz w:val="16"/>
          <w:szCs w:val="16"/>
        </w:rPr>
        <w:t xml:space="preserve"> over another party’s property, even if the owner objects. It is customarily utilized in bankruptcy proceedings.</w:t>
      </w:r>
      <w:r>
        <w:rPr>
          <w:rFonts w:ascii="Times New Roman" w:hAnsi="Times New Roman" w:cs="Times New Roman"/>
          <w:sz w:val="16"/>
          <w:szCs w:val="16"/>
        </w:rPr>
        <w:t xml:space="preserve"> </w:t>
      </w:r>
    </w:p>
    <w:p w14:paraId="27D2332B" w14:textId="77777777" w:rsidR="00FA66A2" w:rsidRPr="005C1E77"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4601D276"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C1E77">
        <w:rPr>
          <w:rFonts w:ascii="Times New Roman" w:hAnsi="Times New Roman" w:cs="Times New Roman"/>
          <w:sz w:val="16"/>
          <w:szCs w:val="16"/>
        </w:rPr>
        <w:t xml:space="preserve">Adverse abandonment is significant in bankruptcy and rail regulation because it balances the interests of </w:t>
      </w:r>
      <w:r w:rsidRPr="005C1E77">
        <w:rPr>
          <w:rFonts w:ascii="Times New Roman" w:hAnsi="Times New Roman" w:cs="Times New Roman"/>
          <w:b/>
          <w:bCs/>
          <w:sz w:val="16"/>
          <w:szCs w:val="16"/>
        </w:rPr>
        <w:t>non-debtor carriers, shippers, and public convenience</w:t>
      </w:r>
      <w:r w:rsidRPr="005C1E77">
        <w:rPr>
          <w:rFonts w:ascii="Times New Roman" w:hAnsi="Times New Roman" w:cs="Times New Roman"/>
          <w:sz w:val="16"/>
          <w:szCs w:val="16"/>
        </w:rPr>
        <w:t>. It ensures that third-party rights are not terminated without regulatory oversight, preventing unilateral disruption of rail service and protecting commerce and community interests (</w:t>
      </w:r>
      <w:proofErr w:type="spellStart"/>
      <w:r w:rsidRPr="005C1E77">
        <w:rPr>
          <w:rFonts w:ascii="Times New Roman" w:hAnsi="Times New Roman" w:cs="Times New Roman"/>
          <w:sz w:val="16"/>
          <w:szCs w:val="16"/>
        </w:rPr>
        <w:t>eCFR</w:t>
      </w:r>
      <w:proofErr w:type="spellEnd"/>
      <w:r w:rsidRPr="005C1E77">
        <w:rPr>
          <w:rFonts w:ascii="Times New Roman" w:hAnsi="Times New Roman" w:cs="Times New Roman"/>
          <w:sz w:val="16"/>
          <w:szCs w:val="16"/>
        </w:rPr>
        <w:t>, 49 CFR Part 1152</w:t>
      </w:r>
      <w:r>
        <w:rPr>
          <w:rFonts w:ascii="Times New Roman" w:hAnsi="Times New Roman" w:cs="Times New Roman"/>
          <w:sz w:val="16"/>
          <w:szCs w:val="16"/>
        </w:rPr>
        <w:t>.</w:t>
      </w:r>
    </w:p>
    <w:p w14:paraId="4EF3CA8A" w14:textId="77777777" w:rsidR="00FA66A2" w:rsidRPr="005C1E77"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79ADE985"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C1E77">
        <w:rPr>
          <w:rFonts w:ascii="Times New Roman" w:hAnsi="Times New Roman" w:cs="Times New Roman"/>
          <w:sz w:val="16"/>
          <w:szCs w:val="16"/>
        </w:rPr>
        <w:t xml:space="preserve">Under the </w:t>
      </w:r>
      <w:r w:rsidRPr="005C1E77">
        <w:rPr>
          <w:rFonts w:ascii="Times New Roman" w:hAnsi="Times New Roman" w:cs="Times New Roman"/>
          <w:b/>
          <w:bCs/>
          <w:sz w:val="16"/>
          <w:szCs w:val="16"/>
        </w:rPr>
        <w:t>U.S. Bankruptcy Code, Section 1170</w:t>
      </w:r>
      <w:r w:rsidRPr="005C1E77">
        <w:rPr>
          <w:rFonts w:ascii="Times New Roman" w:hAnsi="Times New Roman" w:cs="Times New Roman"/>
          <w:sz w:val="16"/>
          <w:szCs w:val="16"/>
        </w:rPr>
        <w:t xml:space="preserve">, bankruptcy courts have authority to approve abandonment of rail lines owned by a debtor causing discontinuance of service. However, courts generally </w:t>
      </w:r>
      <w:r w:rsidRPr="005C1E77">
        <w:rPr>
          <w:rFonts w:ascii="Times New Roman" w:hAnsi="Times New Roman" w:cs="Times New Roman"/>
          <w:b/>
          <w:bCs/>
          <w:sz w:val="16"/>
          <w:szCs w:val="16"/>
        </w:rPr>
        <w:t>do not have the power to grant adverse abandonments</w:t>
      </w:r>
      <w:r w:rsidRPr="005C1E77">
        <w:rPr>
          <w:rFonts w:ascii="Times New Roman" w:hAnsi="Times New Roman" w:cs="Times New Roman"/>
          <w:sz w:val="16"/>
          <w:szCs w:val="16"/>
        </w:rPr>
        <w:t xml:space="preserve"> affecting non-debtor rail carriers’ rights; such actions are typically under the jurisdiction of the </w:t>
      </w:r>
      <w:r w:rsidRPr="005C1E77">
        <w:rPr>
          <w:rFonts w:ascii="Times New Roman" w:hAnsi="Times New Roman" w:cs="Times New Roman"/>
          <w:b/>
          <w:bCs/>
          <w:sz w:val="16"/>
          <w:szCs w:val="16"/>
        </w:rPr>
        <w:t>Surface Transportation Board (STB)</w:t>
      </w:r>
      <w:r w:rsidRPr="005C1E77">
        <w:rPr>
          <w:rFonts w:ascii="Times New Roman" w:hAnsi="Times New Roman" w:cs="Times New Roman"/>
          <w:sz w:val="16"/>
          <w:szCs w:val="16"/>
        </w:rPr>
        <w:t xml:space="preserve">. The STB, successor to the Interstate Commerce Commission, regulates rail line abandonments and discontinuances under </w:t>
      </w:r>
      <w:r w:rsidRPr="005C1E77">
        <w:rPr>
          <w:rFonts w:ascii="Times New Roman" w:hAnsi="Times New Roman" w:cs="Times New Roman"/>
          <w:b/>
          <w:bCs/>
          <w:sz w:val="16"/>
          <w:szCs w:val="16"/>
        </w:rPr>
        <w:t>49 U.S.C. § 10903</w:t>
      </w:r>
      <w:r w:rsidRPr="005C1E77">
        <w:rPr>
          <w:rFonts w:ascii="Times New Roman" w:hAnsi="Times New Roman" w:cs="Times New Roman"/>
          <w:sz w:val="16"/>
          <w:szCs w:val="16"/>
        </w:rPr>
        <w:t xml:space="preserve">, ensuring that public convenience and necessity are considered. See </w:t>
      </w:r>
      <w:proofErr w:type="spellStart"/>
      <w:r w:rsidRPr="005C1E77">
        <w:rPr>
          <w:rFonts w:ascii="Times New Roman" w:hAnsi="Times New Roman" w:cs="Times New Roman"/>
          <w:sz w:val="16"/>
          <w:szCs w:val="16"/>
        </w:rPr>
        <w:t>eCFR</w:t>
      </w:r>
      <w:proofErr w:type="spellEnd"/>
      <w:r w:rsidRPr="005C1E77">
        <w:rPr>
          <w:rFonts w:ascii="Times New Roman" w:hAnsi="Times New Roman" w:cs="Times New Roman"/>
          <w:sz w:val="16"/>
          <w:szCs w:val="16"/>
        </w:rPr>
        <w:t>, 49 CFR Part 1152.</w:t>
      </w:r>
      <w:r>
        <w:rPr>
          <w:rFonts w:ascii="Times New Roman" w:hAnsi="Times New Roman" w:cs="Times New Roman"/>
          <w:sz w:val="16"/>
          <w:szCs w:val="16"/>
        </w:rPr>
        <w:t xml:space="preserve"> </w:t>
      </w:r>
      <w:r w:rsidRPr="005C1E77">
        <w:rPr>
          <w:rFonts w:ascii="Times New Roman" w:hAnsi="Times New Roman" w:cs="Times New Roman"/>
          <w:sz w:val="16"/>
          <w:szCs w:val="16"/>
        </w:rPr>
        <w:t xml:space="preserve">For a standard abandonment, a rail carrier must file an application with the STB, providing details such as traffic data, financial considerations, and notice to affected parties, including states and significant shippers. The STB evaluates whether the abandonment or discontinuance would have a </w:t>
      </w:r>
      <w:r w:rsidRPr="005C1E77">
        <w:rPr>
          <w:rFonts w:ascii="Times New Roman" w:hAnsi="Times New Roman" w:cs="Times New Roman"/>
          <w:b/>
          <w:bCs/>
          <w:sz w:val="16"/>
          <w:szCs w:val="16"/>
        </w:rPr>
        <w:t>serious adverse impact on communities or commerce</w:t>
      </w:r>
      <w:r w:rsidRPr="005C1E77">
        <w:rPr>
          <w:rFonts w:ascii="Times New Roman" w:hAnsi="Times New Roman" w:cs="Times New Roman"/>
          <w:sz w:val="16"/>
          <w:szCs w:val="16"/>
        </w:rPr>
        <w:t xml:space="preserve"> before granting approval (49 U.S.C. § 10903). In contrast, an adverse abandonment petition allows a third party to request the STB to discontinue </w:t>
      </w:r>
      <w:r w:rsidRPr="005C1E77">
        <w:rPr>
          <w:rFonts w:ascii="Times New Roman" w:hAnsi="Times New Roman" w:cs="Times New Roman"/>
          <w:i/>
          <w:iCs/>
          <w:sz w:val="16"/>
          <w:szCs w:val="16"/>
        </w:rPr>
        <w:t>service</w:t>
      </w:r>
      <w:r w:rsidRPr="005C1E77">
        <w:rPr>
          <w:rFonts w:ascii="Times New Roman" w:hAnsi="Times New Roman" w:cs="Times New Roman"/>
          <w:sz w:val="16"/>
          <w:szCs w:val="16"/>
        </w:rPr>
        <w:t xml:space="preserve"> or rights over another carrier’s line, even if the line owner objects, but the STB retains ultimate authority to approve or deny the request.</w:t>
      </w:r>
    </w:p>
    <w:p w14:paraId="1FE487E8" w14:textId="77777777" w:rsidR="00FA66A2" w:rsidRPr="005C1E77"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1D3E9B09"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C1E77">
        <w:rPr>
          <w:rFonts w:ascii="Times New Roman" w:hAnsi="Times New Roman" w:cs="Times New Roman"/>
          <w:sz w:val="16"/>
          <w:szCs w:val="16"/>
        </w:rPr>
        <w:t>Adverse abandonment has three k</w:t>
      </w:r>
      <w:r w:rsidRPr="005C1E77">
        <w:rPr>
          <w:rFonts w:ascii="Times New Roman" w:hAnsi="Times New Roman" w:cs="Times New Roman"/>
          <w:b/>
          <w:bCs/>
          <w:sz w:val="16"/>
          <w:szCs w:val="16"/>
        </w:rPr>
        <w:t>ey distinctions: 1) Standard Abandonment:</w:t>
      </w:r>
      <w:r w:rsidRPr="005C1E77">
        <w:rPr>
          <w:rFonts w:ascii="Times New Roman" w:hAnsi="Times New Roman" w:cs="Times New Roman"/>
          <w:sz w:val="16"/>
          <w:szCs w:val="16"/>
        </w:rPr>
        <w:t xml:space="preserve"> Carrier seeks to abandon its own line; STB approval required. 2) </w:t>
      </w:r>
      <w:r w:rsidRPr="005C1E77">
        <w:rPr>
          <w:rFonts w:ascii="Times New Roman" w:hAnsi="Times New Roman" w:cs="Times New Roman"/>
          <w:b/>
          <w:bCs/>
          <w:sz w:val="16"/>
          <w:szCs w:val="16"/>
        </w:rPr>
        <w:t>Adverse Abandonment:</w:t>
      </w:r>
      <w:r w:rsidRPr="005C1E77">
        <w:rPr>
          <w:rFonts w:ascii="Times New Roman" w:hAnsi="Times New Roman" w:cs="Times New Roman"/>
          <w:sz w:val="16"/>
          <w:szCs w:val="16"/>
        </w:rPr>
        <w:t xml:space="preserve"> Third party seeks to terminate rights over another’s line; STB may grant approval despite owner objection. 3) </w:t>
      </w:r>
      <w:r w:rsidRPr="005C1E77">
        <w:rPr>
          <w:rFonts w:ascii="Times New Roman" w:hAnsi="Times New Roman" w:cs="Times New Roman"/>
          <w:b/>
          <w:bCs/>
          <w:sz w:val="16"/>
          <w:szCs w:val="16"/>
        </w:rPr>
        <w:t>Bankruptcy Context:</w:t>
      </w:r>
      <w:r w:rsidRPr="005C1E77">
        <w:rPr>
          <w:rFonts w:ascii="Times New Roman" w:hAnsi="Times New Roman" w:cs="Times New Roman"/>
          <w:sz w:val="16"/>
          <w:szCs w:val="16"/>
        </w:rPr>
        <w:t xml:space="preserve"> Section 1170 allows abandonment of debtor-owned lines, but not adverse abandonment of non-debtor rights.</w:t>
      </w:r>
    </w:p>
    <w:p w14:paraId="05CE7440" w14:textId="77777777" w:rsidR="00FA66A2" w:rsidRPr="005C1E77"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5C4E75C5" w14:textId="77777777" w:rsidR="00FA66A2" w:rsidRDefault="00FA66A2" w:rsidP="00FA66A2">
      <w:pPr>
        <w:pStyle w:val="ListParagraph"/>
        <w:shd w:val="clear" w:color="auto" w:fill="000000" w:themeFill="text1"/>
        <w:autoSpaceDE w:val="0"/>
        <w:autoSpaceDN w:val="0"/>
        <w:adjustRightInd w:val="0"/>
        <w:spacing w:after="0"/>
        <w:ind w:left="-365"/>
        <w:jc w:val="center"/>
        <w:rPr>
          <w:rFonts w:ascii="Times New Roman" w:hAnsi="Times New Roman" w:cs="Times New Roman"/>
          <w:b/>
          <w:bCs/>
          <w:sz w:val="16"/>
          <w:szCs w:val="16"/>
          <w:lang w:val="en"/>
        </w:rPr>
      </w:pPr>
      <w:r w:rsidRPr="007920CA">
        <w:rPr>
          <w:rFonts w:ascii="Times New Roman" w:hAnsi="Times New Roman" w:cs="Times New Roman"/>
          <w:b/>
          <w:bCs/>
          <w:sz w:val="16"/>
          <w:szCs w:val="16"/>
          <w:lang w:val="en"/>
        </w:rPr>
        <w:t>Non-</w:t>
      </w:r>
      <w:r w:rsidRPr="007920CA">
        <w:rPr>
          <w:rFonts w:ascii="Times New Roman" w:hAnsi="Times New Roman" w:cs="Times New Roman"/>
          <w:b/>
          <w:bCs/>
          <w:i/>
          <w:iCs/>
          <w:sz w:val="16"/>
          <w:szCs w:val="16"/>
          <w:lang w:val="en"/>
        </w:rPr>
        <w:t>judicial</w:t>
      </w:r>
      <w:r w:rsidRPr="007920CA">
        <w:rPr>
          <w:rFonts w:ascii="Times New Roman" w:hAnsi="Times New Roman" w:cs="Times New Roman"/>
          <w:b/>
          <w:bCs/>
          <w:sz w:val="16"/>
          <w:szCs w:val="16"/>
          <w:lang w:val="en"/>
        </w:rPr>
        <w:t xml:space="preserve"> punishment</w:t>
      </w:r>
    </w:p>
    <w:p w14:paraId="4908DB16" w14:textId="77777777" w:rsidR="00FA66A2" w:rsidRPr="005C1E77" w:rsidRDefault="00FA66A2" w:rsidP="00FA66A2">
      <w:pPr>
        <w:pStyle w:val="ListParagraph"/>
        <w:autoSpaceDE w:val="0"/>
        <w:autoSpaceDN w:val="0"/>
        <w:adjustRightInd w:val="0"/>
        <w:spacing w:after="0"/>
        <w:ind w:left="-365"/>
        <w:rPr>
          <w:rFonts w:ascii="Times New Roman" w:hAnsi="Times New Roman" w:cs="Times New Roman"/>
          <w:b/>
          <w:bCs/>
          <w:sz w:val="8"/>
          <w:szCs w:val="8"/>
          <w:lang w:val="en"/>
        </w:rPr>
      </w:pPr>
    </w:p>
    <w:p w14:paraId="73C9B0A2"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Non-</w:t>
      </w:r>
      <w:r w:rsidRPr="007920CA">
        <w:rPr>
          <w:rFonts w:ascii="Times New Roman" w:hAnsi="Times New Roman" w:cs="Times New Roman"/>
          <w:i/>
          <w:iCs/>
          <w:sz w:val="16"/>
          <w:szCs w:val="16"/>
        </w:rPr>
        <w:t>judicia</w:t>
      </w:r>
      <w:r w:rsidRPr="007920CA">
        <w:rPr>
          <w:rFonts w:ascii="Times New Roman" w:hAnsi="Times New Roman" w:cs="Times New Roman"/>
          <w:sz w:val="16"/>
          <w:szCs w:val="16"/>
        </w:rPr>
        <w:t>l punishment is not to be confused with Extrajudicial punishment. In the United States Armed Forces, </w:t>
      </w:r>
      <w:r w:rsidRPr="007920CA">
        <w:rPr>
          <w:rFonts w:ascii="Times New Roman" w:hAnsi="Times New Roman" w:cs="Times New Roman"/>
          <w:b/>
          <w:bCs/>
          <w:sz w:val="16"/>
          <w:szCs w:val="16"/>
        </w:rPr>
        <w:t>non-judicial punishment</w:t>
      </w:r>
      <w:r w:rsidRPr="007920CA">
        <w:rPr>
          <w:rFonts w:ascii="Times New Roman" w:hAnsi="Times New Roman" w:cs="Times New Roman"/>
          <w:sz w:val="16"/>
          <w:szCs w:val="16"/>
        </w:rPr>
        <w:t xml:space="preserve"> or </w:t>
      </w:r>
      <w:r w:rsidRPr="007920CA">
        <w:rPr>
          <w:rFonts w:ascii="Times New Roman" w:hAnsi="Times New Roman" w:cs="Times New Roman"/>
          <w:b/>
          <w:bCs/>
          <w:sz w:val="16"/>
          <w:szCs w:val="16"/>
        </w:rPr>
        <w:t>NJP</w:t>
      </w:r>
      <w:r w:rsidRPr="007920CA">
        <w:rPr>
          <w:rFonts w:ascii="Times New Roman" w:hAnsi="Times New Roman" w:cs="Times New Roman"/>
          <w:sz w:val="16"/>
          <w:szCs w:val="16"/>
        </w:rPr>
        <w:t xml:space="preserve"> is a disciplinary measure that may be applied to individual military personnel, without a need for a court-martial or similar proceedings, such as for a W-2 WARRANT OFFICER.</w:t>
      </w:r>
    </w:p>
    <w:p w14:paraId="1B8A284C" w14:textId="77777777" w:rsidR="00FA66A2" w:rsidRPr="008B5E9D"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1E389F63"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In the United States Armed Forces, non-</w:t>
      </w:r>
      <w:r w:rsidRPr="007920CA">
        <w:rPr>
          <w:rFonts w:ascii="Times New Roman" w:hAnsi="Times New Roman" w:cs="Times New Roman"/>
          <w:i/>
          <w:iCs/>
          <w:sz w:val="16"/>
          <w:szCs w:val="16"/>
        </w:rPr>
        <w:t>judicial</w:t>
      </w:r>
      <w:r w:rsidRPr="007920CA">
        <w:rPr>
          <w:rFonts w:ascii="Times New Roman" w:hAnsi="Times New Roman" w:cs="Times New Roman"/>
          <w:sz w:val="16"/>
          <w:szCs w:val="16"/>
        </w:rPr>
        <w:t xml:space="preserve"> punishment is a form of military justice that is authorized by Article 15 of the Uniform Code of Military Justice or UCMJ. Its rules are further elaborated on in various branch policies, as well as the Manual for Courts-</w:t>
      </w:r>
      <w:r w:rsidRPr="007920CA">
        <w:rPr>
          <w:rFonts w:ascii="Times New Roman" w:hAnsi="Times New Roman" w:cs="Times New Roman"/>
          <w:i/>
          <w:iCs/>
          <w:sz w:val="16"/>
          <w:szCs w:val="16"/>
        </w:rPr>
        <w:t>Martial</w:t>
      </w:r>
      <w:r w:rsidRPr="007920CA">
        <w:rPr>
          <w:rFonts w:ascii="Times New Roman" w:hAnsi="Times New Roman" w:cs="Times New Roman"/>
          <w:sz w:val="16"/>
          <w:szCs w:val="16"/>
        </w:rPr>
        <w:t>. NJP permits commanders to administratively discipline troops without a court-</w:t>
      </w:r>
      <w:r w:rsidRPr="007920CA">
        <w:rPr>
          <w:rFonts w:ascii="Times New Roman" w:hAnsi="Times New Roman" w:cs="Times New Roman"/>
          <w:i/>
          <w:iCs/>
          <w:sz w:val="16"/>
          <w:szCs w:val="16"/>
        </w:rPr>
        <w:t>martial</w:t>
      </w:r>
      <w:r w:rsidRPr="007920CA">
        <w:rPr>
          <w:rFonts w:ascii="Times New Roman" w:hAnsi="Times New Roman" w:cs="Times New Roman"/>
          <w:sz w:val="16"/>
          <w:szCs w:val="16"/>
        </w:rPr>
        <w:t xml:space="preserve">. Punishment can range from reprimand to reduction in rank, correctional custody, loss of pay, extra duty, or restrictions depending on rank of the imposing officer and receiving officer. The receipt of NJP does not constitute a criminal conviction. </w:t>
      </w:r>
      <w:r w:rsidRPr="007920CA">
        <w:rPr>
          <w:rFonts w:ascii="Times New Roman" w:hAnsi="Times New Roman" w:cs="Times New Roman"/>
          <w:b/>
          <w:bCs/>
          <w:sz w:val="16"/>
          <w:szCs w:val="16"/>
        </w:rPr>
        <w:t xml:space="preserve">Rather, it is equivalent to a civil </w:t>
      </w:r>
      <w:proofErr w:type="gramStart"/>
      <w:r w:rsidRPr="007920CA">
        <w:rPr>
          <w:rFonts w:ascii="Times New Roman" w:hAnsi="Times New Roman" w:cs="Times New Roman"/>
          <w:b/>
          <w:bCs/>
          <w:sz w:val="16"/>
          <w:szCs w:val="16"/>
        </w:rPr>
        <w:t>action</w:t>
      </w:r>
      <w:r w:rsidRPr="007920CA">
        <w:rPr>
          <w:rFonts w:ascii="Times New Roman" w:hAnsi="Times New Roman" w:cs="Times New Roman"/>
          <w:sz w:val="16"/>
          <w:szCs w:val="16"/>
        </w:rPr>
        <w:t>, but</w:t>
      </w:r>
      <w:proofErr w:type="gramEnd"/>
      <w:r w:rsidRPr="007920CA">
        <w:rPr>
          <w:rFonts w:ascii="Times New Roman" w:hAnsi="Times New Roman" w:cs="Times New Roman"/>
          <w:sz w:val="16"/>
          <w:szCs w:val="16"/>
        </w:rPr>
        <w:t xml:space="preserve"> is often placed in the service record of the individual. The process for it is governed by Part V of the Manual for Courts</w:t>
      </w:r>
      <w:r w:rsidRPr="007920CA">
        <w:rPr>
          <w:rFonts w:ascii="Times New Roman" w:hAnsi="Times New Roman" w:cs="Times New Roman"/>
          <w:i/>
          <w:iCs/>
          <w:sz w:val="16"/>
          <w:szCs w:val="16"/>
        </w:rPr>
        <w:t>-Martial</w:t>
      </w:r>
      <w:r w:rsidRPr="007920CA">
        <w:rPr>
          <w:rFonts w:ascii="Times New Roman" w:hAnsi="Times New Roman" w:cs="Times New Roman"/>
          <w:sz w:val="16"/>
          <w:szCs w:val="16"/>
        </w:rPr>
        <w:t> and by each service branch's regulations.</w:t>
      </w:r>
    </w:p>
    <w:p w14:paraId="7D476025" w14:textId="77777777" w:rsidR="00FA66A2" w:rsidRPr="008B5E9D"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36405AB6"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Non-judicial punishment proceedings are known by different terms among the services. In the Army and the Air Force, NJP is referred to as </w:t>
      </w:r>
      <w:r w:rsidRPr="007920CA">
        <w:rPr>
          <w:rFonts w:ascii="Times New Roman" w:hAnsi="Times New Roman" w:cs="Times New Roman"/>
          <w:b/>
          <w:bCs/>
          <w:sz w:val="16"/>
          <w:szCs w:val="16"/>
        </w:rPr>
        <w:t>Article 15</w:t>
      </w:r>
      <w:r w:rsidRPr="007920CA">
        <w:rPr>
          <w:rFonts w:ascii="Times New Roman" w:hAnsi="Times New Roman" w:cs="Times New Roman"/>
          <w:sz w:val="16"/>
          <w:szCs w:val="16"/>
        </w:rPr>
        <w:t>; in the Marine Corps it is called being "</w:t>
      </w:r>
      <w:proofErr w:type="spellStart"/>
      <w:r w:rsidRPr="007920CA">
        <w:rPr>
          <w:rFonts w:ascii="Times New Roman" w:hAnsi="Times New Roman" w:cs="Times New Roman"/>
          <w:sz w:val="16"/>
          <w:szCs w:val="16"/>
        </w:rPr>
        <w:t>NJP'd</w:t>
      </w:r>
      <w:proofErr w:type="spellEnd"/>
      <w:r w:rsidRPr="007920CA">
        <w:rPr>
          <w:rFonts w:ascii="Times New Roman" w:hAnsi="Times New Roman" w:cs="Times New Roman"/>
          <w:sz w:val="16"/>
          <w:szCs w:val="16"/>
        </w:rPr>
        <w:t>", being sent to "Office Hours", or satirically among the junior ranks, "Ninja Punched". The Navy and the Coast Guard call NJP captain’s mast or admiral’s mast, depending on the rank of the commanding officer.</w:t>
      </w:r>
    </w:p>
    <w:p w14:paraId="5DE4C7EA" w14:textId="77777777" w:rsidR="00FA66A2" w:rsidRPr="008B5E9D"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2CD64702" w14:textId="77777777" w:rsidR="00FA66A2" w:rsidRDefault="00FA66A2" w:rsidP="00FA66A2">
      <w:pPr>
        <w:pStyle w:val="ListParagraph"/>
        <w:autoSpaceDE w:val="0"/>
        <w:autoSpaceDN w:val="0"/>
        <w:adjustRightInd w:val="0"/>
        <w:spacing w:after="0"/>
        <w:ind w:left="-365"/>
        <w:jc w:val="center"/>
        <w:rPr>
          <w:rFonts w:ascii="Times New Roman" w:hAnsi="Times New Roman" w:cs="Times New Roman"/>
          <w:b/>
          <w:bCs/>
          <w:sz w:val="16"/>
          <w:szCs w:val="16"/>
        </w:rPr>
      </w:pPr>
      <w:r w:rsidRPr="007920CA">
        <w:rPr>
          <w:rFonts w:ascii="Times New Roman" w:hAnsi="Times New Roman" w:cs="Times New Roman"/>
          <w:b/>
          <w:bCs/>
          <w:sz w:val="16"/>
          <w:szCs w:val="16"/>
        </w:rPr>
        <w:t>Hearing</w:t>
      </w:r>
    </w:p>
    <w:p w14:paraId="336ED9E4" w14:textId="77777777" w:rsidR="00FA66A2" w:rsidRPr="008B5E9D" w:rsidRDefault="00FA66A2" w:rsidP="00FA66A2">
      <w:pPr>
        <w:pStyle w:val="ListParagraph"/>
        <w:autoSpaceDE w:val="0"/>
        <w:autoSpaceDN w:val="0"/>
        <w:adjustRightInd w:val="0"/>
        <w:spacing w:after="0"/>
        <w:ind w:left="-365"/>
        <w:rPr>
          <w:rFonts w:ascii="Times New Roman" w:hAnsi="Times New Roman" w:cs="Times New Roman"/>
          <w:b/>
          <w:bCs/>
          <w:sz w:val="8"/>
          <w:szCs w:val="8"/>
        </w:rPr>
      </w:pPr>
    </w:p>
    <w:p w14:paraId="3EA9C237"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Prior to imposition of NJP, the commander notifies the accused of the commander's intention to impose punishment, the nature of the misconduct alleged, supporting evidence, and a statement of the accused's rights under the UCMJ. All service members, except those embarked or attached to a vessel currently away from its homeport, have a right to refuse NJP and request a court-martial. If the accused does not accept the NJP, the NJP hearing is terminated, and the commander must make the decision of whether to process the service member for court-martial. If the accused accepts NJP, the accused can choose to have a hearing or waive said right. If a hearing proceeds, the accused may choose to be accompanied by a spokesperson. The accused may present evidence and witnesses to the commander. The commander must consider any information offered during the hearing and must be personally convinced that the service member committed misconduct before imposing punishment.</w:t>
      </w:r>
    </w:p>
    <w:p w14:paraId="118C8F46" w14:textId="77777777" w:rsidR="00FA66A2" w:rsidRPr="008B5E9D"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58613B5B" w14:textId="77777777" w:rsidR="00FA66A2" w:rsidRDefault="00FA66A2" w:rsidP="00FA66A2">
      <w:pPr>
        <w:pStyle w:val="ListParagraph"/>
        <w:autoSpaceDE w:val="0"/>
        <w:autoSpaceDN w:val="0"/>
        <w:adjustRightInd w:val="0"/>
        <w:spacing w:after="0"/>
        <w:ind w:left="-365"/>
        <w:jc w:val="center"/>
        <w:rPr>
          <w:rFonts w:ascii="Times New Roman" w:hAnsi="Times New Roman" w:cs="Times New Roman"/>
          <w:b/>
          <w:bCs/>
          <w:sz w:val="16"/>
          <w:szCs w:val="16"/>
        </w:rPr>
      </w:pPr>
      <w:r w:rsidRPr="007920CA">
        <w:rPr>
          <w:rFonts w:ascii="Times New Roman" w:hAnsi="Times New Roman" w:cs="Times New Roman"/>
          <w:b/>
          <w:bCs/>
          <w:sz w:val="16"/>
          <w:szCs w:val="16"/>
        </w:rPr>
        <w:t>Extrajudicial punishment</w:t>
      </w:r>
    </w:p>
    <w:p w14:paraId="252F047A" w14:textId="77777777" w:rsidR="00FA66A2" w:rsidRPr="008B5E9D" w:rsidRDefault="00FA66A2" w:rsidP="00FA66A2">
      <w:pPr>
        <w:pStyle w:val="ListParagraph"/>
        <w:autoSpaceDE w:val="0"/>
        <w:autoSpaceDN w:val="0"/>
        <w:adjustRightInd w:val="0"/>
        <w:spacing w:after="0"/>
        <w:ind w:left="-365"/>
        <w:rPr>
          <w:rFonts w:ascii="Times New Roman" w:hAnsi="Times New Roman" w:cs="Times New Roman"/>
          <w:b/>
          <w:bCs/>
          <w:sz w:val="8"/>
          <w:szCs w:val="8"/>
        </w:rPr>
      </w:pPr>
    </w:p>
    <w:p w14:paraId="17CB7DCF"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b/>
          <w:bCs/>
          <w:i/>
          <w:iCs/>
          <w:sz w:val="16"/>
          <w:szCs w:val="16"/>
        </w:rPr>
        <w:t>Extrajudicial punishment is a punishment for an alleged crime or offense which is carried out without legal process or supervision by a court or tribunal through a legal proceeding.</w:t>
      </w:r>
      <w:r w:rsidRPr="007920CA">
        <w:rPr>
          <w:rFonts w:ascii="Times New Roman" w:hAnsi="Times New Roman" w:cs="Times New Roman"/>
          <w:sz w:val="16"/>
          <w:szCs w:val="16"/>
        </w:rPr>
        <w:t xml:space="preserve"> Extrajudicial punishment is often politically motivated, but even </w:t>
      </w:r>
      <w:r w:rsidRPr="007920CA">
        <w:rPr>
          <w:rFonts w:ascii="Times New Roman" w:hAnsi="Times New Roman" w:cs="Times New Roman"/>
          <w:i/>
          <w:iCs/>
          <w:sz w:val="16"/>
          <w:szCs w:val="16"/>
        </w:rPr>
        <w:t>self-proclaimed</w:t>
      </w:r>
      <w:r w:rsidRPr="007920CA">
        <w:rPr>
          <w:rFonts w:ascii="Times New Roman" w:hAnsi="Times New Roman" w:cs="Times New Roman"/>
          <w:sz w:val="16"/>
          <w:szCs w:val="16"/>
        </w:rPr>
        <w:t xml:space="preserve"> or internationally recognized democracies have been known to use extrajudicial punishment under certain circumstances.</w:t>
      </w:r>
      <w:r>
        <w:rPr>
          <w:rFonts w:ascii="Times New Roman" w:hAnsi="Times New Roman" w:cs="Times New Roman"/>
          <w:sz w:val="16"/>
          <w:szCs w:val="16"/>
        </w:rPr>
        <w:t xml:space="preserve"> </w:t>
      </w:r>
      <w:r w:rsidRPr="007920CA">
        <w:rPr>
          <w:rFonts w:ascii="Times New Roman" w:hAnsi="Times New Roman" w:cs="Times New Roman"/>
          <w:sz w:val="16"/>
          <w:szCs w:val="16"/>
        </w:rPr>
        <w:t>Although the legal use of capital punishment is generally decreasing around the world, individuals or groups deemed threatening—or even simply "</w:t>
      </w:r>
      <w:proofErr w:type="gramStart"/>
      <w:r w:rsidRPr="007920CA">
        <w:rPr>
          <w:rFonts w:ascii="Times New Roman" w:hAnsi="Times New Roman" w:cs="Times New Roman"/>
          <w:sz w:val="16"/>
          <w:szCs w:val="16"/>
        </w:rPr>
        <w:t>undesirable"—</w:t>
      </w:r>
      <w:proofErr w:type="gramEnd"/>
      <w:r w:rsidRPr="007920CA">
        <w:rPr>
          <w:rFonts w:ascii="Times New Roman" w:hAnsi="Times New Roman" w:cs="Times New Roman"/>
          <w:sz w:val="16"/>
          <w:szCs w:val="16"/>
        </w:rPr>
        <w:t xml:space="preserve">to a government may nevertheless be targeted for punishment by a regime or its representatives. Such actions typically happen quickly, with security forces acting on a covert basis, performed in such a way as to avoid a massive public outcry and/or international criticism that would reflect badly on the state. Sometimes, the killers are agents </w:t>
      </w:r>
      <w:r w:rsidRPr="007920CA">
        <w:rPr>
          <w:rFonts w:ascii="Times New Roman" w:hAnsi="Times New Roman" w:cs="Times New Roman"/>
          <w:sz w:val="16"/>
          <w:szCs w:val="16"/>
        </w:rPr>
        <w:lastRenderedPageBreak/>
        <w:t>outside the government. Criminal organizations, such as La Cosa Nostra, have reportedly been employed for such a purpose. Another possibility is for uniformed security forces to punish a victim, but under circumstances that make it appear as </w:t>
      </w:r>
      <w:r w:rsidRPr="007920CA">
        <w:rPr>
          <w:rFonts w:ascii="Times New Roman" w:hAnsi="Times New Roman" w:cs="Times New Roman"/>
          <w:b/>
          <w:bCs/>
          <w:sz w:val="16"/>
          <w:szCs w:val="16"/>
        </w:rPr>
        <w:t>self-defense</w:t>
      </w:r>
      <w:r w:rsidRPr="007920CA">
        <w:rPr>
          <w:rFonts w:ascii="Times New Roman" w:hAnsi="Times New Roman" w:cs="Times New Roman"/>
          <w:sz w:val="16"/>
          <w:szCs w:val="16"/>
        </w:rPr>
        <w:t xml:space="preserve"> or </w:t>
      </w:r>
      <w:r w:rsidRPr="007920CA">
        <w:rPr>
          <w:rFonts w:ascii="Times New Roman" w:hAnsi="Times New Roman" w:cs="Times New Roman"/>
          <w:b/>
          <w:bCs/>
          <w:i/>
          <w:iCs/>
          <w:sz w:val="16"/>
          <w:szCs w:val="16"/>
        </w:rPr>
        <w:t>suicide</w:t>
      </w:r>
      <w:r w:rsidRPr="007920CA">
        <w:rPr>
          <w:rFonts w:ascii="Times New Roman" w:hAnsi="Times New Roman" w:cs="Times New Roman"/>
          <w:sz w:val="16"/>
          <w:szCs w:val="16"/>
        </w:rPr>
        <w:t xml:space="preserve">. </w:t>
      </w:r>
    </w:p>
    <w:p w14:paraId="74A63E98" w14:textId="77777777" w:rsidR="00FA66A2" w:rsidRPr="008B5E9D"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28BC499A"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 xml:space="preserve">The former can be accomplished by planting recently fired weapons near the body, the latter by fabricating evidence suggesting suicide. In such cases, it can be difficult to prove that the perpetrators acted wrongly. Because of the dangers inherent in armed confrontation, even police or soldiers who might strongly prefer to take an enemy alive may still kill to protect themselves or </w:t>
      </w:r>
      <w:proofErr w:type="gramStart"/>
      <w:r w:rsidRPr="007920CA">
        <w:rPr>
          <w:rFonts w:ascii="Times New Roman" w:hAnsi="Times New Roman" w:cs="Times New Roman"/>
          <w:sz w:val="16"/>
          <w:szCs w:val="16"/>
        </w:rPr>
        <w:t>civilians, and</w:t>
      </w:r>
      <w:proofErr w:type="gramEnd"/>
      <w:r w:rsidRPr="007920CA">
        <w:rPr>
          <w:rFonts w:ascii="Times New Roman" w:hAnsi="Times New Roman" w:cs="Times New Roman"/>
          <w:sz w:val="16"/>
          <w:szCs w:val="16"/>
        </w:rPr>
        <w:t xml:space="preserve"> potentially cross the line into </w:t>
      </w:r>
      <w:r w:rsidRPr="007920CA">
        <w:rPr>
          <w:rFonts w:ascii="Times New Roman" w:hAnsi="Times New Roman" w:cs="Times New Roman"/>
          <w:i/>
          <w:iCs/>
          <w:sz w:val="16"/>
          <w:szCs w:val="16"/>
        </w:rPr>
        <w:t>extrajudicial murder</w:t>
      </w:r>
      <w:r w:rsidRPr="007920CA">
        <w:rPr>
          <w:rFonts w:ascii="Times New Roman" w:hAnsi="Times New Roman" w:cs="Times New Roman"/>
          <w:sz w:val="16"/>
          <w:szCs w:val="16"/>
        </w:rPr>
        <w:t>.</w:t>
      </w:r>
    </w:p>
    <w:p w14:paraId="5A606080" w14:textId="77777777" w:rsidR="00FA66A2" w:rsidRPr="008B5E9D"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3E62FA3F"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 xml:space="preserve">A forced disappearance or enforced disappearance occurs when a person is secretly abducted or imprisoned by a state acting as a polity, a political organization or by a third party with the authorization, support, or acquiescence of a state or political organization, followed by a refusal to acknowledge the person's fate and whereabouts, with the intent of placing the victim </w:t>
      </w:r>
      <w:r w:rsidRPr="007920CA">
        <w:rPr>
          <w:rFonts w:ascii="Times New Roman" w:hAnsi="Times New Roman" w:cs="Times New Roman"/>
          <w:b/>
          <w:bCs/>
          <w:i/>
          <w:iCs/>
          <w:sz w:val="16"/>
          <w:szCs w:val="16"/>
        </w:rPr>
        <w:t>outside</w:t>
      </w:r>
      <w:r w:rsidRPr="007920CA">
        <w:rPr>
          <w:rFonts w:ascii="Times New Roman" w:hAnsi="Times New Roman" w:cs="Times New Roman"/>
          <w:sz w:val="16"/>
          <w:szCs w:val="16"/>
        </w:rPr>
        <w:t xml:space="preserve"> the protection of the law. </w:t>
      </w:r>
    </w:p>
    <w:p w14:paraId="7627245E" w14:textId="77777777" w:rsidR="00FA66A2" w:rsidRPr="008B5E9D"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56AB100D"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Extrajudicial punishment may be planned and carried out by a particular branch of a state, without informing other branches, or even without having been ordered to commit such acts. Other branches sometimes tacitly approve of the punishment after the fact. They can also genuinely disagree with it, depending on the circumstances, especially when complex intragovernmental or internal policy struggles also exist within a state's policymaking apparatus.</w:t>
      </w:r>
    </w:p>
    <w:p w14:paraId="7B939DC2" w14:textId="77777777" w:rsidR="00FA66A2" w:rsidRPr="008B5E9D"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69180FEA"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In times of war, natural disaster, societal collapse, or in the absence of an established system of criminal justice, there may be increased incidences of extrajudicial punishment. In such circumstances, police or military personnel may be unofficially authorized to severely punish individuals involved in looting, rioting and other violent acts, especially if caught </w:t>
      </w:r>
      <w:r w:rsidRPr="007920CA">
        <w:rPr>
          <w:rFonts w:ascii="Times New Roman" w:hAnsi="Times New Roman" w:cs="Times New Roman"/>
          <w:i/>
          <w:iCs/>
          <w:sz w:val="16"/>
          <w:szCs w:val="16"/>
        </w:rPr>
        <w:t xml:space="preserve">in flagrante delicto, </w:t>
      </w:r>
      <w:r w:rsidRPr="007920CA">
        <w:rPr>
          <w:rFonts w:ascii="Times New Roman" w:hAnsi="Times New Roman" w:cs="Times New Roman"/>
          <w:sz w:val="16"/>
          <w:szCs w:val="16"/>
        </w:rPr>
        <w:t>i.e., is caught red handed. This position is sometimes itself corrupted, resulting in the death of merely </w:t>
      </w:r>
      <w:r w:rsidRPr="007920CA">
        <w:rPr>
          <w:rFonts w:ascii="Times New Roman" w:hAnsi="Times New Roman" w:cs="Times New Roman"/>
          <w:i/>
          <w:iCs/>
          <w:sz w:val="16"/>
          <w:szCs w:val="16"/>
        </w:rPr>
        <w:t>inconvenient</w:t>
      </w:r>
      <w:r w:rsidRPr="007920CA">
        <w:rPr>
          <w:rFonts w:ascii="Times New Roman" w:hAnsi="Times New Roman" w:cs="Times New Roman"/>
          <w:sz w:val="16"/>
          <w:szCs w:val="16"/>
        </w:rPr>
        <w:t> persons, that is, relative innocents who are just in the wrong place at the wrong time.</w:t>
      </w:r>
    </w:p>
    <w:p w14:paraId="5B276856" w14:textId="77777777" w:rsidR="00FA66A2" w:rsidRPr="007119A3"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11DA8D67" w14:textId="77777777" w:rsidR="00FA66A2" w:rsidRPr="007119A3" w:rsidRDefault="00FA66A2" w:rsidP="00FA66A2">
      <w:pPr>
        <w:pStyle w:val="ListParagraph"/>
        <w:shd w:val="clear" w:color="auto" w:fill="000000" w:themeFill="text1"/>
        <w:jc w:val="center"/>
        <w:rPr>
          <w:rFonts w:ascii="Times New Roman" w:hAnsi="Times New Roman" w:cs="Times New Roman"/>
          <w:b/>
          <w:bCs/>
          <w:sz w:val="16"/>
          <w:szCs w:val="16"/>
        </w:rPr>
      </w:pPr>
      <w:r w:rsidRPr="007119A3">
        <w:rPr>
          <w:rFonts w:ascii="Times New Roman" w:hAnsi="Times New Roman" w:cs="Times New Roman"/>
          <w:b/>
          <w:bCs/>
          <w:sz w:val="16"/>
          <w:szCs w:val="16"/>
        </w:rPr>
        <w:t>Adverse Abandonment</w:t>
      </w:r>
    </w:p>
    <w:p w14:paraId="086F59F3" w14:textId="77777777" w:rsidR="00FA66A2" w:rsidRPr="007119A3" w:rsidRDefault="00FA66A2" w:rsidP="00FA66A2">
      <w:pPr>
        <w:pStyle w:val="ListParagraph"/>
        <w:rPr>
          <w:rFonts w:ascii="Times New Roman" w:hAnsi="Times New Roman" w:cs="Times New Roman"/>
          <w:b/>
          <w:bCs/>
          <w:sz w:val="8"/>
          <w:szCs w:val="8"/>
        </w:rPr>
      </w:pPr>
    </w:p>
    <w:p w14:paraId="32DA753A" w14:textId="77777777" w:rsidR="00FA66A2" w:rsidRPr="007119A3" w:rsidRDefault="00FA66A2" w:rsidP="00FA66A2">
      <w:pPr>
        <w:pStyle w:val="ListParagraph"/>
        <w:rPr>
          <w:rFonts w:ascii="Times New Roman" w:hAnsi="Times New Roman" w:cs="Times New Roman"/>
          <w:sz w:val="16"/>
          <w:szCs w:val="16"/>
        </w:rPr>
      </w:pPr>
      <w:r w:rsidRPr="007119A3">
        <w:rPr>
          <w:rFonts w:ascii="Times New Roman" w:hAnsi="Times New Roman" w:cs="Times New Roman"/>
          <w:sz w:val="16"/>
          <w:szCs w:val="16"/>
        </w:rPr>
        <w:t xml:space="preserve">Adverse abandonment is a legal process where a third party who is often a trustee in bankruptcy attempts to terminate </w:t>
      </w:r>
      <w:r w:rsidRPr="007119A3">
        <w:rPr>
          <w:rFonts w:ascii="Times New Roman" w:hAnsi="Times New Roman" w:cs="Times New Roman"/>
          <w:b/>
          <w:bCs/>
          <w:sz w:val="16"/>
          <w:szCs w:val="16"/>
        </w:rPr>
        <w:t>trackage rights or easements</w:t>
      </w:r>
      <w:r w:rsidRPr="007119A3">
        <w:rPr>
          <w:rFonts w:ascii="Times New Roman" w:hAnsi="Times New Roman" w:cs="Times New Roman"/>
          <w:sz w:val="16"/>
          <w:szCs w:val="16"/>
        </w:rPr>
        <w:t xml:space="preserve"> held by a non-debtor over rail lines owned by a debtor. Unlike standard abandonment, where a rail carrier seeks permission to discontinue its own operations, adverse abandonment involves </w:t>
      </w:r>
      <w:r w:rsidRPr="007119A3">
        <w:rPr>
          <w:rFonts w:ascii="Times New Roman" w:hAnsi="Times New Roman" w:cs="Times New Roman"/>
          <w:b/>
          <w:bCs/>
          <w:sz w:val="16"/>
          <w:szCs w:val="16"/>
        </w:rPr>
        <w:t>affecting the rights of a third party</w:t>
      </w:r>
      <w:r w:rsidRPr="007119A3">
        <w:rPr>
          <w:rFonts w:ascii="Times New Roman" w:hAnsi="Times New Roman" w:cs="Times New Roman"/>
          <w:sz w:val="16"/>
          <w:szCs w:val="16"/>
        </w:rPr>
        <w:t xml:space="preserve"> rather than the carrier’s own property or service rights. In short, adverse abandonment seeks to abandon or discontinue rail lines or </w:t>
      </w:r>
      <w:r w:rsidRPr="007119A3">
        <w:rPr>
          <w:rFonts w:ascii="Times New Roman" w:hAnsi="Times New Roman" w:cs="Times New Roman"/>
          <w:b/>
          <w:bCs/>
          <w:i/>
          <w:iCs/>
          <w:sz w:val="16"/>
          <w:szCs w:val="16"/>
        </w:rPr>
        <w:t>services</w:t>
      </w:r>
      <w:r w:rsidRPr="007119A3">
        <w:rPr>
          <w:rFonts w:ascii="Times New Roman" w:hAnsi="Times New Roman" w:cs="Times New Roman"/>
          <w:sz w:val="16"/>
          <w:szCs w:val="16"/>
        </w:rPr>
        <w:t xml:space="preserve"> over another party’s property, even if the owner objects. It is customarily utilized in bankruptcy proceedings. </w:t>
      </w:r>
    </w:p>
    <w:p w14:paraId="01D00386" w14:textId="77777777" w:rsidR="00FA66A2" w:rsidRPr="007119A3" w:rsidRDefault="00FA66A2" w:rsidP="00FA66A2">
      <w:pPr>
        <w:pStyle w:val="ListParagraph"/>
        <w:rPr>
          <w:rFonts w:ascii="Times New Roman" w:hAnsi="Times New Roman" w:cs="Times New Roman"/>
          <w:sz w:val="8"/>
          <w:szCs w:val="8"/>
        </w:rPr>
      </w:pPr>
    </w:p>
    <w:p w14:paraId="2423C9CE" w14:textId="77777777" w:rsidR="00FA66A2" w:rsidRPr="007119A3" w:rsidRDefault="00FA66A2" w:rsidP="00FA66A2">
      <w:pPr>
        <w:pStyle w:val="ListParagraph"/>
        <w:rPr>
          <w:rFonts w:ascii="Times New Roman" w:hAnsi="Times New Roman" w:cs="Times New Roman"/>
          <w:sz w:val="16"/>
          <w:szCs w:val="16"/>
        </w:rPr>
      </w:pPr>
      <w:r w:rsidRPr="007119A3">
        <w:rPr>
          <w:rFonts w:ascii="Times New Roman" w:hAnsi="Times New Roman" w:cs="Times New Roman"/>
          <w:sz w:val="16"/>
          <w:szCs w:val="16"/>
        </w:rPr>
        <w:t xml:space="preserve">Adverse abandonment is significant in bankruptcy and rail regulation because it balances the interests of </w:t>
      </w:r>
      <w:r w:rsidRPr="007119A3">
        <w:rPr>
          <w:rFonts w:ascii="Times New Roman" w:hAnsi="Times New Roman" w:cs="Times New Roman"/>
          <w:b/>
          <w:bCs/>
          <w:sz w:val="16"/>
          <w:szCs w:val="16"/>
        </w:rPr>
        <w:t>non-debtor carriers, shippers, and public convenience</w:t>
      </w:r>
      <w:r w:rsidRPr="007119A3">
        <w:rPr>
          <w:rFonts w:ascii="Times New Roman" w:hAnsi="Times New Roman" w:cs="Times New Roman"/>
          <w:sz w:val="16"/>
          <w:szCs w:val="16"/>
        </w:rPr>
        <w:t>. It ensures that third-party rights are not terminated without regulatory oversight, preventing unilateral disruption of rail service and protecting commerce and community interests (</w:t>
      </w:r>
      <w:proofErr w:type="spellStart"/>
      <w:r w:rsidRPr="007119A3">
        <w:rPr>
          <w:rFonts w:ascii="Times New Roman" w:hAnsi="Times New Roman" w:cs="Times New Roman"/>
          <w:sz w:val="16"/>
          <w:szCs w:val="16"/>
        </w:rPr>
        <w:t>eCFR</w:t>
      </w:r>
      <w:proofErr w:type="spellEnd"/>
      <w:r w:rsidRPr="007119A3">
        <w:rPr>
          <w:rFonts w:ascii="Times New Roman" w:hAnsi="Times New Roman" w:cs="Times New Roman"/>
          <w:sz w:val="16"/>
          <w:szCs w:val="16"/>
        </w:rPr>
        <w:t>, 49 CFR Part 1152.</w:t>
      </w:r>
    </w:p>
    <w:p w14:paraId="0C019811" w14:textId="77777777" w:rsidR="00FA66A2" w:rsidRPr="007119A3" w:rsidRDefault="00FA66A2" w:rsidP="00FA66A2">
      <w:pPr>
        <w:pStyle w:val="ListParagraph"/>
        <w:rPr>
          <w:rFonts w:ascii="Times New Roman" w:hAnsi="Times New Roman" w:cs="Times New Roman"/>
          <w:sz w:val="8"/>
          <w:szCs w:val="8"/>
        </w:rPr>
      </w:pPr>
    </w:p>
    <w:p w14:paraId="34337F72" w14:textId="77777777" w:rsidR="00FA66A2" w:rsidRPr="007119A3" w:rsidRDefault="00FA66A2" w:rsidP="00FA66A2">
      <w:pPr>
        <w:pStyle w:val="ListParagraph"/>
        <w:rPr>
          <w:rFonts w:ascii="Times New Roman" w:hAnsi="Times New Roman" w:cs="Times New Roman"/>
          <w:sz w:val="16"/>
          <w:szCs w:val="16"/>
        </w:rPr>
      </w:pPr>
      <w:r w:rsidRPr="007119A3">
        <w:rPr>
          <w:rFonts w:ascii="Times New Roman" w:hAnsi="Times New Roman" w:cs="Times New Roman"/>
          <w:sz w:val="16"/>
          <w:szCs w:val="16"/>
        </w:rPr>
        <w:t xml:space="preserve">Under the </w:t>
      </w:r>
      <w:r w:rsidRPr="007119A3">
        <w:rPr>
          <w:rFonts w:ascii="Times New Roman" w:hAnsi="Times New Roman" w:cs="Times New Roman"/>
          <w:b/>
          <w:bCs/>
          <w:sz w:val="16"/>
          <w:szCs w:val="16"/>
        </w:rPr>
        <w:t>U.S. Bankruptcy Code, Section 1170</w:t>
      </w:r>
      <w:r w:rsidRPr="007119A3">
        <w:rPr>
          <w:rFonts w:ascii="Times New Roman" w:hAnsi="Times New Roman" w:cs="Times New Roman"/>
          <w:sz w:val="16"/>
          <w:szCs w:val="16"/>
        </w:rPr>
        <w:t xml:space="preserve">, bankruptcy courts have authority to approve abandonment of rail lines owned by a debtor causing discontinuance of service. However, courts generally </w:t>
      </w:r>
      <w:r w:rsidRPr="007119A3">
        <w:rPr>
          <w:rFonts w:ascii="Times New Roman" w:hAnsi="Times New Roman" w:cs="Times New Roman"/>
          <w:b/>
          <w:bCs/>
          <w:sz w:val="16"/>
          <w:szCs w:val="16"/>
        </w:rPr>
        <w:t>do not have the power to grant adverse abandonments</w:t>
      </w:r>
      <w:r w:rsidRPr="007119A3">
        <w:rPr>
          <w:rFonts w:ascii="Times New Roman" w:hAnsi="Times New Roman" w:cs="Times New Roman"/>
          <w:sz w:val="16"/>
          <w:szCs w:val="16"/>
        </w:rPr>
        <w:t xml:space="preserve"> affecting non-debtor rail carriers’ rights; such actions are typically under the jurisdiction of the </w:t>
      </w:r>
      <w:r w:rsidRPr="007119A3">
        <w:rPr>
          <w:rFonts w:ascii="Times New Roman" w:hAnsi="Times New Roman" w:cs="Times New Roman"/>
          <w:b/>
          <w:bCs/>
          <w:sz w:val="16"/>
          <w:szCs w:val="16"/>
        </w:rPr>
        <w:t>Surface Transportation Board (STB)</w:t>
      </w:r>
      <w:r w:rsidRPr="007119A3">
        <w:rPr>
          <w:rFonts w:ascii="Times New Roman" w:hAnsi="Times New Roman" w:cs="Times New Roman"/>
          <w:sz w:val="16"/>
          <w:szCs w:val="16"/>
        </w:rPr>
        <w:t xml:space="preserve">. The STB, successor to the Interstate Commerce Commission, regulates rail line abandonments and discontinuances under </w:t>
      </w:r>
      <w:r w:rsidRPr="007119A3">
        <w:rPr>
          <w:rFonts w:ascii="Times New Roman" w:hAnsi="Times New Roman" w:cs="Times New Roman"/>
          <w:b/>
          <w:bCs/>
          <w:sz w:val="16"/>
          <w:szCs w:val="16"/>
        </w:rPr>
        <w:t>49 U.S.C. § 10903</w:t>
      </w:r>
      <w:r w:rsidRPr="007119A3">
        <w:rPr>
          <w:rFonts w:ascii="Times New Roman" w:hAnsi="Times New Roman" w:cs="Times New Roman"/>
          <w:sz w:val="16"/>
          <w:szCs w:val="16"/>
        </w:rPr>
        <w:t xml:space="preserve">, ensuring that public convenience and necessity are considered. See </w:t>
      </w:r>
      <w:proofErr w:type="spellStart"/>
      <w:r w:rsidRPr="007119A3">
        <w:rPr>
          <w:rFonts w:ascii="Times New Roman" w:hAnsi="Times New Roman" w:cs="Times New Roman"/>
          <w:sz w:val="16"/>
          <w:szCs w:val="16"/>
        </w:rPr>
        <w:t>eCFR</w:t>
      </w:r>
      <w:proofErr w:type="spellEnd"/>
      <w:r w:rsidRPr="007119A3">
        <w:rPr>
          <w:rFonts w:ascii="Times New Roman" w:hAnsi="Times New Roman" w:cs="Times New Roman"/>
          <w:sz w:val="16"/>
          <w:szCs w:val="16"/>
        </w:rPr>
        <w:t xml:space="preserve">, 49 CFR Part 1152. For a standard abandonment, a rail carrier must file an application with the STB, providing details such as traffic data, financial considerations, and notice to affected parties, including states and significant shippers. The STB evaluates whether the abandonment or discontinuance would have a </w:t>
      </w:r>
      <w:r w:rsidRPr="007119A3">
        <w:rPr>
          <w:rFonts w:ascii="Times New Roman" w:hAnsi="Times New Roman" w:cs="Times New Roman"/>
          <w:b/>
          <w:bCs/>
          <w:sz w:val="16"/>
          <w:szCs w:val="16"/>
        </w:rPr>
        <w:t>serious adverse impact on communities or commerce</w:t>
      </w:r>
      <w:r w:rsidRPr="007119A3">
        <w:rPr>
          <w:rFonts w:ascii="Times New Roman" w:hAnsi="Times New Roman" w:cs="Times New Roman"/>
          <w:sz w:val="16"/>
          <w:szCs w:val="16"/>
        </w:rPr>
        <w:t xml:space="preserve"> before granting approval (49 U.S.C. § 10903). In contrast, an adverse abandonment petition allows a third party to request the STB to discontinue </w:t>
      </w:r>
      <w:r w:rsidRPr="007119A3">
        <w:rPr>
          <w:rFonts w:ascii="Times New Roman" w:hAnsi="Times New Roman" w:cs="Times New Roman"/>
          <w:i/>
          <w:iCs/>
          <w:sz w:val="16"/>
          <w:szCs w:val="16"/>
        </w:rPr>
        <w:t>service</w:t>
      </w:r>
      <w:r w:rsidRPr="007119A3">
        <w:rPr>
          <w:rFonts w:ascii="Times New Roman" w:hAnsi="Times New Roman" w:cs="Times New Roman"/>
          <w:sz w:val="16"/>
          <w:szCs w:val="16"/>
        </w:rPr>
        <w:t xml:space="preserve"> or rights over another carrier’s line, even if the line owner objects, but the STB retains ultimate authority to approve or deny the request.</w:t>
      </w:r>
    </w:p>
    <w:p w14:paraId="36AD05E4" w14:textId="77777777" w:rsidR="00FA66A2" w:rsidRPr="007119A3" w:rsidRDefault="00FA66A2" w:rsidP="00FA66A2">
      <w:pPr>
        <w:pStyle w:val="ListParagraph"/>
        <w:rPr>
          <w:rFonts w:ascii="Times New Roman" w:hAnsi="Times New Roman" w:cs="Times New Roman"/>
          <w:sz w:val="8"/>
          <w:szCs w:val="8"/>
        </w:rPr>
      </w:pPr>
    </w:p>
    <w:p w14:paraId="26C7CEA0" w14:textId="77777777" w:rsidR="00FA66A2" w:rsidRPr="007119A3" w:rsidRDefault="00FA66A2" w:rsidP="00FA66A2">
      <w:pPr>
        <w:pStyle w:val="ListParagraph"/>
        <w:rPr>
          <w:rFonts w:ascii="Times New Roman" w:hAnsi="Times New Roman" w:cs="Times New Roman"/>
          <w:sz w:val="16"/>
          <w:szCs w:val="16"/>
        </w:rPr>
      </w:pPr>
      <w:r w:rsidRPr="007119A3">
        <w:rPr>
          <w:rFonts w:ascii="Times New Roman" w:hAnsi="Times New Roman" w:cs="Times New Roman"/>
          <w:sz w:val="16"/>
          <w:szCs w:val="16"/>
        </w:rPr>
        <w:t>Adverse abandonment has three k</w:t>
      </w:r>
      <w:r w:rsidRPr="007119A3">
        <w:rPr>
          <w:rFonts w:ascii="Times New Roman" w:hAnsi="Times New Roman" w:cs="Times New Roman"/>
          <w:b/>
          <w:bCs/>
          <w:sz w:val="16"/>
          <w:szCs w:val="16"/>
        </w:rPr>
        <w:t>ey distinctions: 1) Standard Abandonment:</w:t>
      </w:r>
      <w:r w:rsidRPr="007119A3">
        <w:rPr>
          <w:rFonts w:ascii="Times New Roman" w:hAnsi="Times New Roman" w:cs="Times New Roman"/>
          <w:sz w:val="16"/>
          <w:szCs w:val="16"/>
        </w:rPr>
        <w:t xml:space="preserve"> Carrier seeks to abandon its own line; STB approval required. 2) </w:t>
      </w:r>
      <w:r w:rsidRPr="007119A3">
        <w:rPr>
          <w:rFonts w:ascii="Times New Roman" w:hAnsi="Times New Roman" w:cs="Times New Roman"/>
          <w:b/>
          <w:bCs/>
          <w:sz w:val="16"/>
          <w:szCs w:val="16"/>
        </w:rPr>
        <w:t>Adverse Abandonment:</w:t>
      </w:r>
      <w:r w:rsidRPr="007119A3">
        <w:rPr>
          <w:rFonts w:ascii="Times New Roman" w:hAnsi="Times New Roman" w:cs="Times New Roman"/>
          <w:sz w:val="16"/>
          <w:szCs w:val="16"/>
        </w:rPr>
        <w:t xml:space="preserve"> Third party seeks to terminate rights over another’s line; STB may grant approval despite owner objection. 3) </w:t>
      </w:r>
      <w:r w:rsidRPr="007119A3">
        <w:rPr>
          <w:rFonts w:ascii="Times New Roman" w:hAnsi="Times New Roman" w:cs="Times New Roman"/>
          <w:b/>
          <w:bCs/>
          <w:sz w:val="16"/>
          <w:szCs w:val="16"/>
        </w:rPr>
        <w:t>Bankruptcy Context:</w:t>
      </w:r>
      <w:r w:rsidRPr="007119A3">
        <w:rPr>
          <w:rFonts w:ascii="Times New Roman" w:hAnsi="Times New Roman" w:cs="Times New Roman"/>
          <w:sz w:val="16"/>
          <w:szCs w:val="16"/>
        </w:rPr>
        <w:t xml:space="preserve"> Section 1170 allows abandonment of debtor-owned lines, but not adverse abandonment of non-debtor rights.</w:t>
      </w:r>
    </w:p>
    <w:p w14:paraId="5A4E9EF3"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p>
    <w:p w14:paraId="1534AD6B"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p>
    <w:p w14:paraId="20ED8CE2" w14:textId="77777777" w:rsidR="00FA66A2" w:rsidRDefault="00FA66A2" w:rsidP="00FA66A2">
      <w:pPr>
        <w:pStyle w:val="ListParagraph"/>
        <w:autoSpaceDE w:val="0"/>
        <w:autoSpaceDN w:val="0"/>
        <w:adjustRightInd w:val="0"/>
        <w:spacing w:after="0"/>
        <w:ind w:left="-365"/>
        <w:jc w:val="center"/>
        <w:rPr>
          <w:rFonts w:ascii="Times New Roman" w:hAnsi="Times New Roman" w:cs="Times New Roman"/>
          <w:sz w:val="16"/>
          <w:szCs w:val="16"/>
        </w:rPr>
      </w:pPr>
      <w:r>
        <w:rPr>
          <w:rFonts w:ascii="Times New Roman" w:hAnsi="Times New Roman" w:cs="Times New Roman"/>
          <w:sz w:val="16"/>
          <w:szCs w:val="16"/>
        </w:rPr>
        <w:t>--- END OF DOCUMENT ---</w:t>
      </w:r>
    </w:p>
    <w:p w14:paraId="5442779E" w14:textId="77777777" w:rsidR="00FA66A2" w:rsidRPr="00844BE9" w:rsidRDefault="00FA66A2" w:rsidP="00FA66A2">
      <w:pPr>
        <w:jc w:val="center"/>
        <w:rPr>
          <w:rFonts w:ascii="Times New Roman" w:hAnsi="Times New Roman" w:cs="Times New Roman"/>
          <w:b/>
          <w:bCs/>
        </w:rPr>
      </w:pPr>
    </w:p>
    <w:p w14:paraId="76A3200B" w14:textId="77777777" w:rsidR="00765096" w:rsidRPr="00FA66A2" w:rsidRDefault="00765096">
      <w:pPr>
        <w:rPr>
          <w:rFonts w:ascii="Times New Roman" w:hAnsi="Times New Roman" w:cs="Times New Roman"/>
        </w:rPr>
      </w:pPr>
    </w:p>
    <w:sectPr w:rsidR="00765096" w:rsidRPr="00FA66A2" w:rsidSect="00FA66A2">
      <w:headerReference w:type="default" r:id="rId27"/>
      <w:footerReference w:type="default" r:id="rId28"/>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40CE5" w14:textId="77777777" w:rsidR="004A7163" w:rsidRDefault="004A7163">
      <w:pPr>
        <w:spacing w:after="0" w:line="240" w:lineRule="auto"/>
      </w:pPr>
      <w:r>
        <w:separator/>
      </w:r>
    </w:p>
  </w:endnote>
  <w:endnote w:type="continuationSeparator" w:id="0">
    <w:p w14:paraId="3644943C" w14:textId="77777777" w:rsidR="004A7163" w:rsidRDefault="004A7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lgerian">
    <w:panose1 w:val="04020705040A02060702"/>
    <w:charset w:val="00"/>
    <w:family w:val="decorative"/>
    <w:pitch w:val="variable"/>
    <w:sig w:usb0="00000003" w:usb1="00000000" w:usb2="00000000" w:usb3="00000000" w:csb0="00000001" w:csb1="00000000"/>
  </w:font>
  <w:font w:name="Vivaldi">
    <w:panose1 w:val="030206020505060908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9616900"/>
      <w:docPartObj>
        <w:docPartGallery w:val="Page Numbers (Top of Page)"/>
        <w:docPartUnique/>
      </w:docPartObj>
    </w:sdtPr>
    <w:sdtContent>
      <w:sdt>
        <w:sdtPr>
          <w:id w:val="650643919"/>
          <w:docPartObj>
            <w:docPartGallery w:val="Page Numbers (Top of Page)"/>
            <w:docPartUnique/>
          </w:docPartObj>
        </w:sdtPr>
        <w:sdtContent>
          <w:p w14:paraId="5C02FAA9" w14:textId="77777777" w:rsidR="00FA66A2" w:rsidRDefault="00FA66A2" w:rsidP="003B407E">
            <w:pPr>
              <w:pStyle w:val="Footer"/>
              <w:jc w:val="center"/>
            </w:pPr>
            <w:r>
              <w:rPr>
                <w:rFonts w:ascii="Times New Roman" w:hAnsi="Times New Roman" w:cs="Times New Roman"/>
                <w:sz w:val="16"/>
                <w:szCs w:val="16"/>
              </w:rPr>
              <w:t>In the United States: “All law is local law”</w:t>
            </w:r>
            <w:r>
              <w:rPr>
                <w:rFonts w:ascii="Times New Roman" w:hAnsi="Times New Roman" w:cs="Times New Roman"/>
                <w:color w:val="FFFFFF" w:themeColor="background1"/>
                <w:sz w:val="16"/>
                <w:szCs w:val="16"/>
              </w:rPr>
              <w:t>.</w:t>
            </w:r>
            <w:r>
              <w:rPr>
                <w:rFonts w:ascii="Times New Roman" w:hAnsi="Times New Roman" w:cs="Times New Roman"/>
                <w:sz w:val="16"/>
                <w:szCs w:val="16"/>
              </w:rPr>
              <w:t xml:space="preserve">  </w:t>
            </w:r>
            <w:r w:rsidRPr="00C72F5F">
              <w:rPr>
                <w:rFonts w:ascii="Times New Roman" w:hAnsi="Times New Roman" w:cs="Times New Roman"/>
                <w:b/>
                <w:bCs/>
              </w:rPr>
              <w:t xml:space="preserve"> |</w:t>
            </w:r>
            <w:r w:rsidRPr="00C72F5F">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sz w:val="16"/>
                <w:szCs w:val="16"/>
              </w:rPr>
              <w:t>In New York City: “All law is local law”</w:t>
            </w:r>
            <w:r w:rsidRPr="006F3F27">
              <w:rPr>
                <w:rFonts w:ascii="Times New Roman" w:hAnsi="Times New Roman" w:cs="Times New Roman"/>
                <w:color w:val="FFFFFF" w:themeColor="background1"/>
                <w:sz w:val="16"/>
                <w:szCs w:val="16"/>
              </w:rPr>
              <w:t xml:space="preserve">.  </w:t>
            </w:r>
            <w:r>
              <w:rPr>
                <w:rFonts w:ascii="Times New Roman" w:hAnsi="Times New Roman" w:cs="Times New Roman"/>
                <w:sz w:val="16"/>
                <w:szCs w:val="16"/>
              </w:rPr>
              <w:t xml:space="preserve">                         </w:t>
            </w:r>
            <w:r w:rsidRPr="0038068F">
              <w:rPr>
                <w:rFonts w:ascii="Times New Roman" w:hAnsi="Times New Roman" w:cs="Times New Roman"/>
                <w:sz w:val="16"/>
                <w:szCs w:val="16"/>
              </w:rPr>
              <w:t xml:space="preserve">Page </w:t>
            </w:r>
            <w:r w:rsidRPr="0038068F">
              <w:rPr>
                <w:rFonts w:ascii="Times New Roman" w:hAnsi="Times New Roman" w:cs="Times New Roman"/>
                <w:b/>
                <w:bCs/>
                <w:sz w:val="16"/>
                <w:szCs w:val="16"/>
              </w:rPr>
              <w:fldChar w:fldCharType="begin"/>
            </w:r>
            <w:r w:rsidRPr="0038068F">
              <w:rPr>
                <w:rFonts w:ascii="Times New Roman" w:hAnsi="Times New Roman" w:cs="Times New Roman"/>
                <w:b/>
                <w:bCs/>
                <w:sz w:val="16"/>
                <w:szCs w:val="16"/>
              </w:rPr>
              <w:instrText xml:space="preserve"> PAGE </w:instrText>
            </w:r>
            <w:r w:rsidRPr="0038068F">
              <w:rPr>
                <w:rFonts w:ascii="Times New Roman" w:hAnsi="Times New Roman" w:cs="Times New Roman"/>
                <w:b/>
                <w:bCs/>
                <w:sz w:val="16"/>
                <w:szCs w:val="16"/>
              </w:rPr>
              <w:fldChar w:fldCharType="separate"/>
            </w:r>
            <w:r>
              <w:rPr>
                <w:rFonts w:ascii="Times New Roman" w:hAnsi="Times New Roman" w:cs="Times New Roman"/>
                <w:b/>
                <w:bCs/>
                <w:sz w:val="16"/>
                <w:szCs w:val="16"/>
              </w:rPr>
              <w:t>1</w:t>
            </w:r>
            <w:r w:rsidRPr="0038068F">
              <w:rPr>
                <w:rFonts w:ascii="Times New Roman" w:hAnsi="Times New Roman" w:cs="Times New Roman"/>
                <w:b/>
                <w:bCs/>
                <w:sz w:val="16"/>
                <w:szCs w:val="16"/>
              </w:rPr>
              <w:fldChar w:fldCharType="end"/>
            </w:r>
            <w:r w:rsidRPr="0038068F">
              <w:rPr>
                <w:rFonts w:ascii="Times New Roman" w:hAnsi="Times New Roman" w:cs="Times New Roman"/>
                <w:sz w:val="16"/>
                <w:szCs w:val="16"/>
              </w:rPr>
              <w:t xml:space="preserve"> of </w:t>
            </w:r>
            <w:r w:rsidRPr="0038068F">
              <w:rPr>
                <w:rFonts w:ascii="Times New Roman" w:hAnsi="Times New Roman" w:cs="Times New Roman"/>
                <w:b/>
                <w:bCs/>
                <w:sz w:val="16"/>
                <w:szCs w:val="16"/>
              </w:rPr>
              <w:fldChar w:fldCharType="begin"/>
            </w:r>
            <w:r w:rsidRPr="0038068F">
              <w:rPr>
                <w:rFonts w:ascii="Times New Roman" w:hAnsi="Times New Roman" w:cs="Times New Roman"/>
                <w:b/>
                <w:bCs/>
                <w:sz w:val="16"/>
                <w:szCs w:val="16"/>
              </w:rPr>
              <w:instrText xml:space="preserve"> NUMPAGES  </w:instrText>
            </w:r>
            <w:r w:rsidRPr="0038068F">
              <w:rPr>
                <w:rFonts w:ascii="Times New Roman" w:hAnsi="Times New Roman" w:cs="Times New Roman"/>
                <w:b/>
                <w:bCs/>
                <w:sz w:val="16"/>
                <w:szCs w:val="16"/>
              </w:rPr>
              <w:fldChar w:fldCharType="separate"/>
            </w:r>
            <w:r>
              <w:rPr>
                <w:rFonts w:ascii="Times New Roman" w:hAnsi="Times New Roman" w:cs="Times New Roman"/>
                <w:b/>
                <w:bCs/>
                <w:sz w:val="16"/>
                <w:szCs w:val="16"/>
              </w:rPr>
              <w:t>9</w:t>
            </w:r>
            <w:r w:rsidRPr="0038068F">
              <w:rPr>
                <w:rFonts w:ascii="Times New Roman" w:hAnsi="Times New Roman" w:cs="Times New Roman"/>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2B0B3" w14:textId="77777777" w:rsidR="004A7163" w:rsidRDefault="004A7163">
      <w:pPr>
        <w:spacing w:after="0" w:line="240" w:lineRule="auto"/>
      </w:pPr>
      <w:r>
        <w:separator/>
      </w:r>
    </w:p>
  </w:footnote>
  <w:footnote w:type="continuationSeparator" w:id="0">
    <w:p w14:paraId="1E50E054" w14:textId="77777777" w:rsidR="004A7163" w:rsidRDefault="004A71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3C71C" w14:textId="77777777" w:rsidR="00FA66A2" w:rsidRPr="00A65374" w:rsidRDefault="00FA66A2" w:rsidP="00A65374">
    <w:pPr>
      <w:spacing w:line="240" w:lineRule="auto"/>
      <w:jc w:val="center"/>
      <w:rPr>
        <w:rFonts w:ascii="Vivaldi" w:hAnsi="Vivaldi" w:cs="Times New Roman"/>
        <w:sz w:val="28"/>
        <w:szCs w:val="28"/>
      </w:rPr>
    </w:pPr>
    <w:r w:rsidRPr="00BF1767">
      <w:rPr>
        <w:rFonts w:ascii="Vivaldi" w:hAnsi="Vivaldi" w:cs="Times New Roman"/>
        <w:b/>
        <w:bCs/>
        <w:sz w:val="36"/>
        <w:szCs w:val="36"/>
      </w:rPr>
      <w:t>Perfect Trader</w:t>
    </w:r>
    <w:r>
      <w:rPr>
        <w:rFonts w:ascii="Vivaldi" w:hAnsi="Vivaldi" w:cs="Times New Roman"/>
        <w:b/>
        <w:bCs/>
        <w:sz w:val="36"/>
        <w:szCs w:val="36"/>
      </w:rPr>
      <w:t xml:space="preserve">                                                                                              </w:t>
    </w:r>
    <w:r w:rsidRPr="00365928">
      <w:rPr>
        <w:rFonts w:ascii="Vivaldi" w:hAnsi="Vivaldi" w:cs="Times New Roman"/>
        <w:sz w:val="28"/>
        <w:szCs w:val="28"/>
      </w:rPr>
      <w:t>we advocate in Truth not Fiction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3E38"/>
    <w:multiLevelType w:val="hybridMultilevel"/>
    <w:tmpl w:val="75A22F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F0EBD"/>
    <w:multiLevelType w:val="multilevel"/>
    <w:tmpl w:val="5A447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C14940"/>
    <w:multiLevelType w:val="hybridMultilevel"/>
    <w:tmpl w:val="A66886C6"/>
    <w:lvl w:ilvl="0" w:tplc="04090001">
      <w:start w:val="1"/>
      <w:numFmt w:val="bullet"/>
      <w:lvlText w:val=""/>
      <w:lvlJc w:val="left"/>
      <w:pPr>
        <w:ind w:left="355" w:hanging="360"/>
      </w:pPr>
      <w:rPr>
        <w:rFonts w:ascii="Symbol" w:hAnsi="Symbol" w:hint="default"/>
      </w:rPr>
    </w:lvl>
    <w:lvl w:ilvl="1" w:tplc="04090003" w:tentative="1">
      <w:start w:val="1"/>
      <w:numFmt w:val="bullet"/>
      <w:lvlText w:val="o"/>
      <w:lvlJc w:val="left"/>
      <w:pPr>
        <w:ind w:left="1075" w:hanging="360"/>
      </w:pPr>
      <w:rPr>
        <w:rFonts w:ascii="Courier New" w:hAnsi="Courier New" w:cs="Courier New" w:hint="default"/>
      </w:rPr>
    </w:lvl>
    <w:lvl w:ilvl="2" w:tplc="04090005" w:tentative="1">
      <w:start w:val="1"/>
      <w:numFmt w:val="bullet"/>
      <w:lvlText w:val=""/>
      <w:lvlJc w:val="left"/>
      <w:pPr>
        <w:ind w:left="1795" w:hanging="360"/>
      </w:pPr>
      <w:rPr>
        <w:rFonts w:ascii="Wingdings" w:hAnsi="Wingdings" w:hint="default"/>
      </w:rPr>
    </w:lvl>
    <w:lvl w:ilvl="3" w:tplc="04090001" w:tentative="1">
      <w:start w:val="1"/>
      <w:numFmt w:val="bullet"/>
      <w:lvlText w:val=""/>
      <w:lvlJc w:val="left"/>
      <w:pPr>
        <w:ind w:left="2515" w:hanging="360"/>
      </w:pPr>
      <w:rPr>
        <w:rFonts w:ascii="Symbol" w:hAnsi="Symbol" w:hint="default"/>
      </w:rPr>
    </w:lvl>
    <w:lvl w:ilvl="4" w:tplc="04090003" w:tentative="1">
      <w:start w:val="1"/>
      <w:numFmt w:val="bullet"/>
      <w:lvlText w:val="o"/>
      <w:lvlJc w:val="left"/>
      <w:pPr>
        <w:ind w:left="3235" w:hanging="360"/>
      </w:pPr>
      <w:rPr>
        <w:rFonts w:ascii="Courier New" w:hAnsi="Courier New" w:cs="Courier New" w:hint="default"/>
      </w:rPr>
    </w:lvl>
    <w:lvl w:ilvl="5" w:tplc="04090005" w:tentative="1">
      <w:start w:val="1"/>
      <w:numFmt w:val="bullet"/>
      <w:lvlText w:val=""/>
      <w:lvlJc w:val="left"/>
      <w:pPr>
        <w:ind w:left="3955" w:hanging="360"/>
      </w:pPr>
      <w:rPr>
        <w:rFonts w:ascii="Wingdings" w:hAnsi="Wingdings" w:hint="default"/>
      </w:rPr>
    </w:lvl>
    <w:lvl w:ilvl="6" w:tplc="04090001" w:tentative="1">
      <w:start w:val="1"/>
      <w:numFmt w:val="bullet"/>
      <w:lvlText w:val=""/>
      <w:lvlJc w:val="left"/>
      <w:pPr>
        <w:ind w:left="4675" w:hanging="360"/>
      </w:pPr>
      <w:rPr>
        <w:rFonts w:ascii="Symbol" w:hAnsi="Symbol" w:hint="default"/>
      </w:rPr>
    </w:lvl>
    <w:lvl w:ilvl="7" w:tplc="04090003" w:tentative="1">
      <w:start w:val="1"/>
      <w:numFmt w:val="bullet"/>
      <w:lvlText w:val="o"/>
      <w:lvlJc w:val="left"/>
      <w:pPr>
        <w:ind w:left="5395" w:hanging="360"/>
      </w:pPr>
      <w:rPr>
        <w:rFonts w:ascii="Courier New" w:hAnsi="Courier New" w:cs="Courier New" w:hint="default"/>
      </w:rPr>
    </w:lvl>
    <w:lvl w:ilvl="8" w:tplc="04090005" w:tentative="1">
      <w:start w:val="1"/>
      <w:numFmt w:val="bullet"/>
      <w:lvlText w:val=""/>
      <w:lvlJc w:val="left"/>
      <w:pPr>
        <w:ind w:left="6115" w:hanging="360"/>
      </w:pPr>
      <w:rPr>
        <w:rFonts w:ascii="Wingdings" w:hAnsi="Wingdings" w:hint="default"/>
      </w:rPr>
    </w:lvl>
  </w:abstractNum>
  <w:abstractNum w:abstractNumId="3" w15:restartNumberingAfterBreak="0">
    <w:nsid w:val="633D5674"/>
    <w:multiLevelType w:val="hybridMultilevel"/>
    <w:tmpl w:val="61707054"/>
    <w:lvl w:ilvl="0" w:tplc="04090005">
      <w:start w:val="1"/>
      <w:numFmt w:val="bullet"/>
      <w:lvlText w:val=""/>
      <w:lvlJc w:val="left"/>
      <w:pPr>
        <w:ind w:left="355" w:hanging="360"/>
      </w:pPr>
      <w:rPr>
        <w:rFonts w:ascii="Wingdings" w:hAnsi="Wingdings" w:hint="default"/>
      </w:rPr>
    </w:lvl>
    <w:lvl w:ilvl="1" w:tplc="04090003" w:tentative="1">
      <w:start w:val="1"/>
      <w:numFmt w:val="bullet"/>
      <w:lvlText w:val="o"/>
      <w:lvlJc w:val="left"/>
      <w:pPr>
        <w:ind w:left="1075" w:hanging="360"/>
      </w:pPr>
      <w:rPr>
        <w:rFonts w:ascii="Courier New" w:hAnsi="Courier New" w:cs="Courier New" w:hint="default"/>
      </w:rPr>
    </w:lvl>
    <w:lvl w:ilvl="2" w:tplc="04090005" w:tentative="1">
      <w:start w:val="1"/>
      <w:numFmt w:val="bullet"/>
      <w:lvlText w:val=""/>
      <w:lvlJc w:val="left"/>
      <w:pPr>
        <w:ind w:left="1795" w:hanging="360"/>
      </w:pPr>
      <w:rPr>
        <w:rFonts w:ascii="Wingdings" w:hAnsi="Wingdings" w:hint="default"/>
      </w:rPr>
    </w:lvl>
    <w:lvl w:ilvl="3" w:tplc="04090001" w:tentative="1">
      <w:start w:val="1"/>
      <w:numFmt w:val="bullet"/>
      <w:lvlText w:val=""/>
      <w:lvlJc w:val="left"/>
      <w:pPr>
        <w:ind w:left="2515" w:hanging="360"/>
      </w:pPr>
      <w:rPr>
        <w:rFonts w:ascii="Symbol" w:hAnsi="Symbol" w:hint="default"/>
      </w:rPr>
    </w:lvl>
    <w:lvl w:ilvl="4" w:tplc="04090003" w:tentative="1">
      <w:start w:val="1"/>
      <w:numFmt w:val="bullet"/>
      <w:lvlText w:val="o"/>
      <w:lvlJc w:val="left"/>
      <w:pPr>
        <w:ind w:left="3235" w:hanging="360"/>
      </w:pPr>
      <w:rPr>
        <w:rFonts w:ascii="Courier New" w:hAnsi="Courier New" w:cs="Courier New" w:hint="default"/>
      </w:rPr>
    </w:lvl>
    <w:lvl w:ilvl="5" w:tplc="04090005" w:tentative="1">
      <w:start w:val="1"/>
      <w:numFmt w:val="bullet"/>
      <w:lvlText w:val=""/>
      <w:lvlJc w:val="left"/>
      <w:pPr>
        <w:ind w:left="3955" w:hanging="360"/>
      </w:pPr>
      <w:rPr>
        <w:rFonts w:ascii="Wingdings" w:hAnsi="Wingdings" w:hint="default"/>
      </w:rPr>
    </w:lvl>
    <w:lvl w:ilvl="6" w:tplc="04090001" w:tentative="1">
      <w:start w:val="1"/>
      <w:numFmt w:val="bullet"/>
      <w:lvlText w:val=""/>
      <w:lvlJc w:val="left"/>
      <w:pPr>
        <w:ind w:left="4675" w:hanging="360"/>
      </w:pPr>
      <w:rPr>
        <w:rFonts w:ascii="Symbol" w:hAnsi="Symbol" w:hint="default"/>
      </w:rPr>
    </w:lvl>
    <w:lvl w:ilvl="7" w:tplc="04090003" w:tentative="1">
      <w:start w:val="1"/>
      <w:numFmt w:val="bullet"/>
      <w:lvlText w:val="o"/>
      <w:lvlJc w:val="left"/>
      <w:pPr>
        <w:ind w:left="5395" w:hanging="360"/>
      </w:pPr>
      <w:rPr>
        <w:rFonts w:ascii="Courier New" w:hAnsi="Courier New" w:cs="Courier New" w:hint="default"/>
      </w:rPr>
    </w:lvl>
    <w:lvl w:ilvl="8" w:tplc="04090005" w:tentative="1">
      <w:start w:val="1"/>
      <w:numFmt w:val="bullet"/>
      <w:lvlText w:val=""/>
      <w:lvlJc w:val="left"/>
      <w:pPr>
        <w:ind w:left="6115" w:hanging="360"/>
      </w:pPr>
      <w:rPr>
        <w:rFonts w:ascii="Wingdings" w:hAnsi="Wingdings" w:hint="default"/>
      </w:rPr>
    </w:lvl>
  </w:abstractNum>
  <w:abstractNum w:abstractNumId="4" w15:restartNumberingAfterBreak="0">
    <w:nsid w:val="709D0535"/>
    <w:multiLevelType w:val="hybridMultilevel"/>
    <w:tmpl w:val="F5F41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30628D"/>
    <w:multiLevelType w:val="hybridMultilevel"/>
    <w:tmpl w:val="0E74F76C"/>
    <w:lvl w:ilvl="0" w:tplc="04090001">
      <w:start w:val="1"/>
      <w:numFmt w:val="bullet"/>
      <w:lvlText w:val=""/>
      <w:lvlJc w:val="left"/>
      <w:pPr>
        <w:ind w:left="1075" w:hanging="360"/>
      </w:pPr>
      <w:rPr>
        <w:rFonts w:ascii="Symbol" w:hAnsi="Symbol" w:hint="default"/>
      </w:rPr>
    </w:lvl>
    <w:lvl w:ilvl="1" w:tplc="04090003" w:tentative="1">
      <w:start w:val="1"/>
      <w:numFmt w:val="bullet"/>
      <w:lvlText w:val="o"/>
      <w:lvlJc w:val="left"/>
      <w:pPr>
        <w:ind w:left="1795" w:hanging="360"/>
      </w:pPr>
      <w:rPr>
        <w:rFonts w:ascii="Courier New" w:hAnsi="Courier New" w:cs="Courier New" w:hint="default"/>
      </w:rPr>
    </w:lvl>
    <w:lvl w:ilvl="2" w:tplc="04090005" w:tentative="1">
      <w:start w:val="1"/>
      <w:numFmt w:val="bullet"/>
      <w:lvlText w:val=""/>
      <w:lvlJc w:val="left"/>
      <w:pPr>
        <w:ind w:left="2515" w:hanging="360"/>
      </w:pPr>
      <w:rPr>
        <w:rFonts w:ascii="Wingdings" w:hAnsi="Wingdings" w:hint="default"/>
      </w:rPr>
    </w:lvl>
    <w:lvl w:ilvl="3" w:tplc="04090001" w:tentative="1">
      <w:start w:val="1"/>
      <w:numFmt w:val="bullet"/>
      <w:lvlText w:val=""/>
      <w:lvlJc w:val="left"/>
      <w:pPr>
        <w:ind w:left="3235" w:hanging="360"/>
      </w:pPr>
      <w:rPr>
        <w:rFonts w:ascii="Symbol" w:hAnsi="Symbol" w:hint="default"/>
      </w:rPr>
    </w:lvl>
    <w:lvl w:ilvl="4" w:tplc="04090003" w:tentative="1">
      <w:start w:val="1"/>
      <w:numFmt w:val="bullet"/>
      <w:lvlText w:val="o"/>
      <w:lvlJc w:val="left"/>
      <w:pPr>
        <w:ind w:left="3955" w:hanging="360"/>
      </w:pPr>
      <w:rPr>
        <w:rFonts w:ascii="Courier New" w:hAnsi="Courier New" w:cs="Courier New" w:hint="default"/>
      </w:rPr>
    </w:lvl>
    <w:lvl w:ilvl="5" w:tplc="04090005" w:tentative="1">
      <w:start w:val="1"/>
      <w:numFmt w:val="bullet"/>
      <w:lvlText w:val=""/>
      <w:lvlJc w:val="left"/>
      <w:pPr>
        <w:ind w:left="4675" w:hanging="360"/>
      </w:pPr>
      <w:rPr>
        <w:rFonts w:ascii="Wingdings" w:hAnsi="Wingdings" w:hint="default"/>
      </w:rPr>
    </w:lvl>
    <w:lvl w:ilvl="6" w:tplc="04090001" w:tentative="1">
      <w:start w:val="1"/>
      <w:numFmt w:val="bullet"/>
      <w:lvlText w:val=""/>
      <w:lvlJc w:val="left"/>
      <w:pPr>
        <w:ind w:left="5395" w:hanging="360"/>
      </w:pPr>
      <w:rPr>
        <w:rFonts w:ascii="Symbol" w:hAnsi="Symbol" w:hint="default"/>
      </w:rPr>
    </w:lvl>
    <w:lvl w:ilvl="7" w:tplc="04090003" w:tentative="1">
      <w:start w:val="1"/>
      <w:numFmt w:val="bullet"/>
      <w:lvlText w:val="o"/>
      <w:lvlJc w:val="left"/>
      <w:pPr>
        <w:ind w:left="6115" w:hanging="360"/>
      </w:pPr>
      <w:rPr>
        <w:rFonts w:ascii="Courier New" w:hAnsi="Courier New" w:cs="Courier New" w:hint="default"/>
      </w:rPr>
    </w:lvl>
    <w:lvl w:ilvl="8" w:tplc="04090005" w:tentative="1">
      <w:start w:val="1"/>
      <w:numFmt w:val="bullet"/>
      <w:lvlText w:val=""/>
      <w:lvlJc w:val="left"/>
      <w:pPr>
        <w:ind w:left="6835" w:hanging="360"/>
      </w:pPr>
      <w:rPr>
        <w:rFonts w:ascii="Wingdings" w:hAnsi="Wingdings" w:hint="default"/>
      </w:rPr>
    </w:lvl>
  </w:abstractNum>
  <w:abstractNum w:abstractNumId="6" w15:restartNumberingAfterBreak="0">
    <w:nsid w:val="7FF1248E"/>
    <w:multiLevelType w:val="hybridMultilevel"/>
    <w:tmpl w:val="D8D60E9E"/>
    <w:lvl w:ilvl="0" w:tplc="CAAC9CBE">
      <w:start w:val="1"/>
      <w:numFmt w:val="bullet"/>
      <w:lvlText w:val=""/>
      <w:lvlJc w:val="left"/>
      <w:pPr>
        <w:ind w:left="-5" w:hanging="360"/>
      </w:pPr>
      <w:rPr>
        <w:rFonts w:ascii="Symbol" w:hAnsi="Symbol" w:hint="default"/>
        <w:color w:val="FFFFFF" w:themeColor="background1"/>
      </w:rPr>
    </w:lvl>
    <w:lvl w:ilvl="1" w:tplc="04090003" w:tentative="1">
      <w:start w:val="1"/>
      <w:numFmt w:val="bullet"/>
      <w:lvlText w:val="o"/>
      <w:lvlJc w:val="left"/>
      <w:pPr>
        <w:ind w:left="715" w:hanging="360"/>
      </w:pPr>
      <w:rPr>
        <w:rFonts w:ascii="Courier New" w:hAnsi="Courier New" w:cs="Courier New" w:hint="default"/>
      </w:rPr>
    </w:lvl>
    <w:lvl w:ilvl="2" w:tplc="04090005" w:tentative="1">
      <w:start w:val="1"/>
      <w:numFmt w:val="bullet"/>
      <w:lvlText w:val=""/>
      <w:lvlJc w:val="left"/>
      <w:pPr>
        <w:ind w:left="1435" w:hanging="360"/>
      </w:pPr>
      <w:rPr>
        <w:rFonts w:ascii="Wingdings" w:hAnsi="Wingdings" w:hint="default"/>
      </w:rPr>
    </w:lvl>
    <w:lvl w:ilvl="3" w:tplc="04090001" w:tentative="1">
      <w:start w:val="1"/>
      <w:numFmt w:val="bullet"/>
      <w:lvlText w:val=""/>
      <w:lvlJc w:val="left"/>
      <w:pPr>
        <w:ind w:left="2155" w:hanging="360"/>
      </w:pPr>
      <w:rPr>
        <w:rFonts w:ascii="Symbol" w:hAnsi="Symbol" w:hint="default"/>
      </w:rPr>
    </w:lvl>
    <w:lvl w:ilvl="4" w:tplc="04090003" w:tentative="1">
      <w:start w:val="1"/>
      <w:numFmt w:val="bullet"/>
      <w:lvlText w:val="o"/>
      <w:lvlJc w:val="left"/>
      <w:pPr>
        <w:ind w:left="2875" w:hanging="360"/>
      </w:pPr>
      <w:rPr>
        <w:rFonts w:ascii="Courier New" w:hAnsi="Courier New" w:cs="Courier New" w:hint="default"/>
      </w:rPr>
    </w:lvl>
    <w:lvl w:ilvl="5" w:tplc="04090005" w:tentative="1">
      <w:start w:val="1"/>
      <w:numFmt w:val="bullet"/>
      <w:lvlText w:val=""/>
      <w:lvlJc w:val="left"/>
      <w:pPr>
        <w:ind w:left="3595" w:hanging="360"/>
      </w:pPr>
      <w:rPr>
        <w:rFonts w:ascii="Wingdings" w:hAnsi="Wingdings" w:hint="default"/>
      </w:rPr>
    </w:lvl>
    <w:lvl w:ilvl="6" w:tplc="04090001" w:tentative="1">
      <w:start w:val="1"/>
      <w:numFmt w:val="bullet"/>
      <w:lvlText w:val=""/>
      <w:lvlJc w:val="left"/>
      <w:pPr>
        <w:ind w:left="4315" w:hanging="360"/>
      </w:pPr>
      <w:rPr>
        <w:rFonts w:ascii="Symbol" w:hAnsi="Symbol" w:hint="default"/>
      </w:rPr>
    </w:lvl>
    <w:lvl w:ilvl="7" w:tplc="04090003" w:tentative="1">
      <w:start w:val="1"/>
      <w:numFmt w:val="bullet"/>
      <w:lvlText w:val="o"/>
      <w:lvlJc w:val="left"/>
      <w:pPr>
        <w:ind w:left="5035" w:hanging="360"/>
      </w:pPr>
      <w:rPr>
        <w:rFonts w:ascii="Courier New" w:hAnsi="Courier New" w:cs="Courier New" w:hint="default"/>
      </w:rPr>
    </w:lvl>
    <w:lvl w:ilvl="8" w:tplc="04090005" w:tentative="1">
      <w:start w:val="1"/>
      <w:numFmt w:val="bullet"/>
      <w:lvlText w:val=""/>
      <w:lvlJc w:val="left"/>
      <w:pPr>
        <w:ind w:left="5755" w:hanging="360"/>
      </w:pPr>
      <w:rPr>
        <w:rFonts w:ascii="Wingdings" w:hAnsi="Wingdings" w:hint="default"/>
      </w:rPr>
    </w:lvl>
  </w:abstractNum>
  <w:num w:numId="1" w16cid:durableId="1681003737">
    <w:abstractNumId w:val="6"/>
  </w:num>
  <w:num w:numId="2" w16cid:durableId="1163205856">
    <w:abstractNumId w:val="3"/>
  </w:num>
  <w:num w:numId="3" w16cid:durableId="2112314043">
    <w:abstractNumId w:val="0"/>
  </w:num>
  <w:num w:numId="4" w16cid:durableId="1531990123">
    <w:abstractNumId w:val="4"/>
  </w:num>
  <w:num w:numId="5" w16cid:durableId="1594044539">
    <w:abstractNumId w:val="1"/>
  </w:num>
  <w:num w:numId="6" w16cid:durableId="1039621249">
    <w:abstractNumId w:val="2"/>
  </w:num>
  <w:num w:numId="7" w16cid:durableId="7816505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6A2"/>
    <w:rsid w:val="004A7163"/>
    <w:rsid w:val="00684FD6"/>
    <w:rsid w:val="00736EE8"/>
    <w:rsid w:val="00765096"/>
    <w:rsid w:val="0090245F"/>
    <w:rsid w:val="00953558"/>
    <w:rsid w:val="00DE331F"/>
    <w:rsid w:val="00FA6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15F0E"/>
  <w15:chartTrackingRefBased/>
  <w15:docId w15:val="{5137C7D4-DF0C-4542-84C4-27D674F89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66A2"/>
    <w:pPr>
      <w:spacing w:after="200" w:line="276" w:lineRule="auto"/>
      <w:jc w:val="both"/>
    </w:pPr>
    <w:rPr>
      <w:kern w:val="0"/>
      <w:sz w:val="20"/>
      <w:szCs w:val="20"/>
      <w:lang w:bidi="en-US"/>
      <w14:ligatures w14:val="none"/>
    </w:rPr>
  </w:style>
  <w:style w:type="paragraph" w:styleId="Heading1">
    <w:name w:val="heading 1"/>
    <w:basedOn w:val="Normal"/>
    <w:next w:val="Normal"/>
    <w:link w:val="Heading1Char"/>
    <w:uiPriority w:val="9"/>
    <w:qFormat/>
    <w:rsid w:val="00FA66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A66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66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66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66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66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66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66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66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66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A66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66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66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66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66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66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66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66A2"/>
    <w:rPr>
      <w:rFonts w:eastAsiaTheme="majorEastAsia" w:cstheme="majorBidi"/>
      <w:color w:val="272727" w:themeColor="text1" w:themeTint="D8"/>
    </w:rPr>
  </w:style>
  <w:style w:type="paragraph" w:styleId="Title">
    <w:name w:val="Title"/>
    <w:basedOn w:val="Normal"/>
    <w:next w:val="Normal"/>
    <w:link w:val="TitleChar"/>
    <w:uiPriority w:val="10"/>
    <w:qFormat/>
    <w:rsid w:val="00FA66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66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66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66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66A2"/>
    <w:pPr>
      <w:spacing w:before="160"/>
      <w:jc w:val="center"/>
    </w:pPr>
    <w:rPr>
      <w:i/>
      <w:iCs/>
      <w:color w:val="404040" w:themeColor="text1" w:themeTint="BF"/>
    </w:rPr>
  </w:style>
  <w:style w:type="character" w:customStyle="1" w:styleId="QuoteChar">
    <w:name w:val="Quote Char"/>
    <w:basedOn w:val="DefaultParagraphFont"/>
    <w:link w:val="Quote"/>
    <w:uiPriority w:val="29"/>
    <w:rsid w:val="00FA66A2"/>
    <w:rPr>
      <w:i/>
      <w:iCs/>
      <w:color w:val="404040" w:themeColor="text1" w:themeTint="BF"/>
    </w:rPr>
  </w:style>
  <w:style w:type="paragraph" w:styleId="ListParagraph">
    <w:name w:val="List Paragraph"/>
    <w:basedOn w:val="Normal"/>
    <w:uiPriority w:val="34"/>
    <w:qFormat/>
    <w:rsid w:val="00FA66A2"/>
    <w:pPr>
      <w:ind w:left="720"/>
      <w:contextualSpacing/>
    </w:pPr>
  </w:style>
  <w:style w:type="character" w:styleId="IntenseEmphasis">
    <w:name w:val="Intense Emphasis"/>
    <w:basedOn w:val="DefaultParagraphFont"/>
    <w:uiPriority w:val="21"/>
    <w:qFormat/>
    <w:rsid w:val="00FA66A2"/>
    <w:rPr>
      <w:i/>
      <w:iCs/>
      <w:color w:val="0F4761" w:themeColor="accent1" w:themeShade="BF"/>
    </w:rPr>
  </w:style>
  <w:style w:type="paragraph" w:styleId="IntenseQuote">
    <w:name w:val="Intense Quote"/>
    <w:basedOn w:val="Normal"/>
    <w:next w:val="Normal"/>
    <w:link w:val="IntenseQuoteChar"/>
    <w:uiPriority w:val="30"/>
    <w:qFormat/>
    <w:rsid w:val="00FA66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66A2"/>
    <w:rPr>
      <w:i/>
      <w:iCs/>
      <w:color w:val="0F4761" w:themeColor="accent1" w:themeShade="BF"/>
    </w:rPr>
  </w:style>
  <w:style w:type="character" w:styleId="IntenseReference">
    <w:name w:val="Intense Reference"/>
    <w:basedOn w:val="DefaultParagraphFont"/>
    <w:uiPriority w:val="32"/>
    <w:qFormat/>
    <w:rsid w:val="00FA66A2"/>
    <w:rPr>
      <w:b/>
      <w:bCs/>
      <w:smallCaps/>
      <w:color w:val="0F4761" w:themeColor="accent1" w:themeShade="BF"/>
      <w:spacing w:val="5"/>
    </w:rPr>
  </w:style>
  <w:style w:type="character" w:styleId="Hyperlink">
    <w:name w:val="Hyperlink"/>
    <w:basedOn w:val="DefaultParagraphFont"/>
    <w:uiPriority w:val="99"/>
    <w:unhideWhenUsed/>
    <w:rsid w:val="00FA66A2"/>
    <w:rPr>
      <w:color w:val="467886" w:themeColor="hyperlink"/>
      <w:u w:val="single"/>
    </w:rPr>
  </w:style>
  <w:style w:type="character" w:styleId="FollowedHyperlink">
    <w:name w:val="FollowedHyperlink"/>
    <w:basedOn w:val="DefaultParagraphFont"/>
    <w:uiPriority w:val="99"/>
    <w:semiHidden/>
    <w:unhideWhenUsed/>
    <w:rsid w:val="00FA66A2"/>
    <w:rPr>
      <w:color w:val="96607D" w:themeColor="followedHyperlink"/>
      <w:u w:val="single"/>
    </w:rPr>
  </w:style>
  <w:style w:type="paragraph" w:styleId="Header">
    <w:name w:val="header"/>
    <w:basedOn w:val="Normal"/>
    <w:link w:val="HeaderChar"/>
    <w:uiPriority w:val="99"/>
    <w:unhideWhenUsed/>
    <w:rsid w:val="00FA66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6A2"/>
    <w:rPr>
      <w:kern w:val="0"/>
      <w:sz w:val="20"/>
      <w:szCs w:val="20"/>
      <w:lang w:bidi="en-US"/>
      <w14:ligatures w14:val="none"/>
    </w:rPr>
  </w:style>
  <w:style w:type="paragraph" w:styleId="Footer">
    <w:name w:val="footer"/>
    <w:basedOn w:val="Normal"/>
    <w:link w:val="FooterChar"/>
    <w:uiPriority w:val="99"/>
    <w:unhideWhenUsed/>
    <w:rsid w:val="00FA66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6A2"/>
    <w:rPr>
      <w:kern w:val="0"/>
      <w:sz w:val="20"/>
      <w:szCs w:val="20"/>
      <w:lang w:bidi="en-US"/>
      <w14:ligatures w14:val="none"/>
    </w:rPr>
  </w:style>
  <w:style w:type="character" w:customStyle="1" w:styleId="po-county">
    <w:name w:val="po-county"/>
    <w:basedOn w:val="DefaultParagraphFont"/>
    <w:rsid w:val="00FA66A2"/>
  </w:style>
  <w:style w:type="character" w:customStyle="1" w:styleId="po-state">
    <w:name w:val="po-state"/>
    <w:basedOn w:val="DefaultParagraphFont"/>
    <w:rsid w:val="00FA66A2"/>
  </w:style>
  <w:style w:type="character" w:customStyle="1" w:styleId="po-name">
    <w:name w:val="po-name"/>
    <w:basedOn w:val="DefaultParagraphFont"/>
    <w:rsid w:val="00FA66A2"/>
  </w:style>
  <w:style w:type="character" w:styleId="UnresolvedMention">
    <w:name w:val="Unresolved Mention"/>
    <w:basedOn w:val="DefaultParagraphFont"/>
    <w:uiPriority w:val="99"/>
    <w:semiHidden/>
    <w:unhideWhenUsed/>
    <w:rsid w:val="00FA66A2"/>
    <w:rPr>
      <w:color w:val="605E5C"/>
      <w:shd w:val="clear" w:color="auto" w:fill="E1DFDD"/>
    </w:rPr>
  </w:style>
  <w:style w:type="character" w:styleId="Strong">
    <w:name w:val="Strong"/>
    <w:basedOn w:val="DefaultParagraphFont"/>
    <w:uiPriority w:val="22"/>
    <w:qFormat/>
    <w:rsid w:val="00FA66A2"/>
    <w:rPr>
      <w:b/>
      <w:bCs/>
    </w:rPr>
  </w:style>
  <w:style w:type="character" w:customStyle="1" w:styleId="skimlinks-unlinked">
    <w:name w:val="skimlinks-unlinked"/>
    <w:basedOn w:val="DefaultParagraphFont"/>
    <w:rsid w:val="00FA66A2"/>
  </w:style>
  <w:style w:type="paragraph" w:styleId="NormalWeb">
    <w:name w:val="Normal (Web)"/>
    <w:basedOn w:val="Normal"/>
    <w:uiPriority w:val="99"/>
    <w:unhideWhenUsed/>
    <w:qFormat/>
    <w:rsid w:val="00FA66A2"/>
    <w:pPr>
      <w:spacing w:beforeAutospacing="1" w:after="160" w:afterAutospacing="1" w:line="240" w:lineRule="auto"/>
      <w:jc w:val="left"/>
    </w:pPr>
    <w:rPr>
      <w:rFonts w:ascii="Times New Roman" w:eastAsia="Times New Roman" w:hAnsi="Times New Roman" w:cs="Times New Roman"/>
      <w:sz w:val="24"/>
      <w:szCs w:val="24"/>
      <w:lang w:bidi="ar-SA"/>
    </w:rPr>
  </w:style>
  <w:style w:type="paragraph" w:customStyle="1" w:styleId="NoSpacing1">
    <w:name w:val="No Spacing1"/>
    <w:uiPriority w:val="1"/>
    <w:qFormat/>
    <w:rsid w:val="00FA66A2"/>
    <w:pPr>
      <w:spacing w:after="0" w:line="240" w:lineRule="auto"/>
    </w:pPr>
    <w:rPr>
      <w:rFonts w:ascii="Cambria" w:eastAsia="MS Mincho" w:hAnsi="Cambria" w:cs="Times New Roman"/>
      <w:kern w:val="0"/>
      <w14:ligatures w14:val="none"/>
    </w:rPr>
  </w:style>
  <w:style w:type="character" w:customStyle="1" w:styleId="mw-headline">
    <w:name w:val="mw-headline"/>
    <w:basedOn w:val="DefaultParagraphFont"/>
    <w:rsid w:val="00FA66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Recess_(Holy_Roman_Empire)" TargetMode="External"/><Relationship Id="rId13" Type="http://schemas.openxmlformats.org/officeDocument/2006/relationships/hyperlink" Target="https://en.wikipedia.org/wiki/Swedish_nobility" TargetMode="External"/><Relationship Id="rId18" Type="http://schemas.openxmlformats.org/officeDocument/2006/relationships/hyperlink" Target="https://en.wikipedia.org/wiki/Microstate" TargetMode="External"/><Relationship Id="rId26" Type="http://schemas.openxmlformats.org/officeDocument/2006/relationships/hyperlink" Target="https://en.wikipedia.org/wiki/Torrens_title" TargetMode="External"/><Relationship Id="rId3" Type="http://schemas.openxmlformats.org/officeDocument/2006/relationships/settings" Target="settings.xml"/><Relationship Id="rId21" Type="http://schemas.openxmlformats.org/officeDocument/2006/relationships/hyperlink" Target="https://en.wikipedia.org/wiki/Odelsrett" TargetMode="External"/><Relationship Id="rId7" Type="http://schemas.openxmlformats.org/officeDocument/2006/relationships/hyperlink" Target="https://en.wikipedia.org/wiki/Era" TargetMode="External"/><Relationship Id="rId12" Type="http://schemas.openxmlformats.org/officeDocument/2006/relationships/hyperlink" Target="https://en.wikipedia.org/wiki/Assarting" TargetMode="External"/><Relationship Id="rId17" Type="http://schemas.openxmlformats.org/officeDocument/2006/relationships/hyperlink" Target="https://en.wikipedia.org/wiki/Mark_system" TargetMode="External"/><Relationship Id="rId25" Type="http://schemas.openxmlformats.org/officeDocument/2006/relationships/hyperlink" Target="https://en.wikipedia.org/wiki/Slander_of_title" TargetMode="External"/><Relationship Id="rId2" Type="http://schemas.openxmlformats.org/officeDocument/2006/relationships/styles" Target="styles.xml"/><Relationship Id="rId16" Type="http://schemas.openxmlformats.org/officeDocument/2006/relationships/hyperlink" Target="https://en.wikipedia.org/wiki/Manorialism" TargetMode="External"/><Relationship Id="rId20" Type="http://schemas.openxmlformats.org/officeDocument/2006/relationships/hyperlink" Target="https://en.wikipedia.org/wiki/Numa_Denis_Fustel_de_Coulanges"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Allod" TargetMode="External"/><Relationship Id="rId24" Type="http://schemas.openxmlformats.org/officeDocument/2006/relationships/hyperlink" Target="https://en.wikipedia.org/wiki/Serfdom" TargetMode="External"/><Relationship Id="rId5" Type="http://schemas.openxmlformats.org/officeDocument/2006/relationships/footnotes" Target="footnotes.xml"/><Relationship Id="rId15" Type="http://schemas.openxmlformats.org/officeDocument/2006/relationships/hyperlink" Target="https://en.wikipedia.org/wiki/Lord_paramount" TargetMode="External"/><Relationship Id="rId23" Type="http://schemas.openxmlformats.org/officeDocument/2006/relationships/hyperlink" Target="https://en.wikipedia.org/wiki/Quia_Emptores" TargetMode="External"/><Relationship Id="rId28" Type="http://schemas.openxmlformats.org/officeDocument/2006/relationships/footer" Target="footer1.xml"/><Relationship Id="rId10" Type="http://schemas.openxmlformats.org/officeDocument/2006/relationships/hyperlink" Target="https://en.wikipedia.org/wiki/Reichsdeputationshauptschluss" TargetMode="External"/><Relationship Id="rId19" Type="http://schemas.openxmlformats.org/officeDocument/2006/relationships/hyperlink" Target="https://en.wikipedia.org/wiki/Nulle_terre_sans_seigneur" TargetMode="External"/><Relationship Id="rId4" Type="http://schemas.openxmlformats.org/officeDocument/2006/relationships/webSettings" Target="webSettings.xml"/><Relationship Id="rId9" Type="http://schemas.openxmlformats.org/officeDocument/2006/relationships/hyperlink" Target="https://en.wikipedia.org/wiki/Pars_pro_toto" TargetMode="External"/><Relationship Id="rId14" Type="http://schemas.openxmlformats.org/officeDocument/2006/relationships/hyperlink" Target="https://en.wikipedia.org/wiki/Land_tenure" TargetMode="External"/><Relationship Id="rId22" Type="http://schemas.openxmlformats.org/officeDocument/2006/relationships/hyperlink" Target="https://en.wikipedia.org/wiki/Property_tax_in_the_United_States"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13644</Words>
  <Characters>77773</Characters>
  <Application>Microsoft Office Word</Application>
  <DocSecurity>0</DocSecurity>
  <Lines>648</Lines>
  <Paragraphs>182</Paragraphs>
  <ScaleCrop>false</ScaleCrop>
  <Company/>
  <LinksUpToDate>false</LinksUpToDate>
  <CharactersWithSpaces>91235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Reclamation and Restoration of Lenapehoking</dc:title>
  <dc:subject>Original document (verbatim Word file)</dc:subject>
  <dc:creator>Fictive Documents Archive — The Reinvention of New York</dc:creator>
  <cp:keywords/>
  <dc:description/>
  <cp:lastModifiedBy>Vic Acosta</cp:lastModifiedBy>
  <cp:revision>2</cp:revision>
  <dcterms:created xsi:type="dcterms:W3CDTF">2026-10-13T18:53:00Z</dcterms:created>
  <dcterms:modified xsi:type="dcterms:W3CDTF">2026-10-13T18:55:00Z</dcterms:modified>
</cp:coreProperties>
</file>