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But the the U.N. Headquarters is extraterritorial because it is international.</w:t>
      </w:r>
    </w:p>
    <w:p/>
    <w:p>
      <w:r>
        <w:t>New York City is an international extraterritorial jurisdiction as a result.</w:t>
      </w:r>
    </w:p>
    <w:p/>
    <w:p>
      <w:r>
        <w:t>on December 9th, 1945, the "legislative coup" executed by the U.S. Congress, transferred every public office of the United States, via the enactment of the International Organization Immunities Act, into the extraterritorial, extrajudicial and extralegal in rem jurisdiction of the UNITED (CHEROKEE) NATIONS. This voluntary capitulation resulted in private Americans being gaslighted by registered or licensed offshore foreign statute merchants into the United Nations or UN’s extralegal in rem jurisdiction(s) to be subjected to their private international treaties or agreements.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 Jurisdiction Claim</dc:title>
  <dc:subject>Original document (verbatim Word file)</dc:subject>
  <dc:creator>Fictive Documents Archive — The Reinvention of New York</dc:creator>
  <cp:keywords/>
  <dc:description>generated by python-docx</dc:description>
  <cp:lastModifiedBy/>
  <cp:revision>1</cp:revision>
  <dcterms:created xsi:type="dcterms:W3CDTF">2013-12-23T23:15:00Z</dcterms:created>
  <dcterms:modified xsi:type="dcterms:W3CDTF">2013-12-23T23:15:00Z</dcterms:modified>
  <cp:category/>
</cp:coreProperties>
</file>